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A8B5C7" w14:textId="1CBE6A6E" w:rsidR="006A7FF3" w:rsidRDefault="00B92333" w:rsidP="00005464">
      <w:pPr>
        <w:rPr>
          <w:b/>
          <w:bCs/>
          <w:sz w:val="36"/>
          <w:szCs w:val="36"/>
        </w:rPr>
      </w:pPr>
      <w:r>
        <w:rPr>
          <w:noProof/>
        </w:rPr>
        <w:drawing>
          <wp:inline distT="0" distB="0" distL="0" distR="0" wp14:anchorId="2BFB2E58" wp14:editId="0B46B5C8">
            <wp:extent cx="1125822" cy="1972932"/>
            <wp:effectExtent l="0" t="0" r="0" b="8890"/>
            <wp:docPr id="1" name="Slika 1" descr="Logo SC Gač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SC Gač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32522" cy="1984673"/>
                    </a:xfrm>
                    <a:prstGeom prst="rect">
                      <a:avLst/>
                    </a:prstGeom>
                    <a:noFill/>
                    <a:ln>
                      <a:noFill/>
                    </a:ln>
                  </pic:spPr>
                </pic:pic>
              </a:graphicData>
            </a:graphic>
          </wp:inline>
        </w:drawing>
      </w:r>
    </w:p>
    <w:p w14:paraId="064C7DAA" w14:textId="77777777" w:rsidR="00B92333" w:rsidRDefault="00B92333" w:rsidP="00005464">
      <w:pPr>
        <w:rPr>
          <w:b/>
          <w:bCs/>
          <w:sz w:val="36"/>
          <w:szCs w:val="36"/>
        </w:rPr>
      </w:pPr>
    </w:p>
    <w:p w14:paraId="205BA862" w14:textId="77777777" w:rsidR="004E1E3E" w:rsidRDefault="004E1E3E" w:rsidP="00005464">
      <w:pPr>
        <w:rPr>
          <w:b/>
          <w:bCs/>
          <w:sz w:val="36"/>
          <w:szCs w:val="36"/>
        </w:rPr>
      </w:pPr>
    </w:p>
    <w:p w14:paraId="761871E9" w14:textId="77777777" w:rsidR="00B92333" w:rsidRDefault="00B92333" w:rsidP="00005464">
      <w:pPr>
        <w:rPr>
          <w:b/>
          <w:bCs/>
          <w:sz w:val="36"/>
          <w:szCs w:val="36"/>
        </w:rPr>
      </w:pPr>
    </w:p>
    <w:p w14:paraId="203B148B" w14:textId="77777777" w:rsidR="009E10E0" w:rsidRDefault="00B92333" w:rsidP="00005464">
      <w:pPr>
        <w:jc w:val="center"/>
        <w:rPr>
          <w:b/>
          <w:bCs/>
          <w:sz w:val="52"/>
          <w:szCs w:val="52"/>
        </w:rPr>
      </w:pPr>
      <w:r>
        <w:rPr>
          <w:b/>
          <w:bCs/>
          <w:sz w:val="36"/>
          <w:szCs w:val="36"/>
        </w:rPr>
        <w:t>ZAGOTOVITEV FINANČNIH SREDSTEV ZA DOLGOROČNO STABILNO OBRATOVANJ</w:t>
      </w:r>
      <w:r w:rsidR="00960AA3">
        <w:rPr>
          <w:b/>
          <w:bCs/>
          <w:sz w:val="36"/>
          <w:szCs w:val="36"/>
        </w:rPr>
        <w:t>E</w:t>
      </w:r>
      <w:r>
        <w:rPr>
          <w:b/>
          <w:bCs/>
          <w:sz w:val="36"/>
          <w:szCs w:val="36"/>
        </w:rPr>
        <w:t xml:space="preserve"> </w:t>
      </w:r>
      <w:r w:rsidRPr="00B92333">
        <w:rPr>
          <w:b/>
          <w:bCs/>
          <w:sz w:val="52"/>
          <w:szCs w:val="52"/>
        </w:rPr>
        <w:t>RTC GAČE</w:t>
      </w:r>
      <w:r w:rsidR="009E10E0">
        <w:rPr>
          <w:b/>
          <w:bCs/>
          <w:sz w:val="52"/>
          <w:szCs w:val="52"/>
        </w:rPr>
        <w:t xml:space="preserve"> </w:t>
      </w:r>
    </w:p>
    <w:p w14:paraId="2903B335" w14:textId="6D27858B" w:rsidR="00B92333" w:rsidRDefault="009E10E0" w:rsidP="00005464">
      <w:pPr>
        <w:jc w:val="center"/>
        <w:rPr>
          <w:b/>
          <w:bCs/>
          <w:sz w:val="36"/>
          <w:szCs w:val="36"/>
        </w:rPr>
      </w:pPr>
      <w:r w:rsidRPr="009E10E0">
        <w:rPr>
          <w:b/>
          <w:bCs/>
          <w:sz w:val="40"/>
          <w:szCs w:val="40"/>
        </w:rPr>
        <w:t xml:space="preserve">V </w:t>
      </w:r>
      <w:r>
        <w:rPr>
          <w:b/>
          <w:bCs/>
          <w:sz w:val="40"/>
          <w:szCs w:val="40"/>
        </w:rPr>
        <w:t>SEZ</w:t>
      </w:r>
      <w:r w:rsidRPr="009E10E0">
        <w:rPr>
          <w:b/>
          <w:bCs/>
          <w:sz w:val="40"/>
          <w:szCs w:val="40"/>
        </w:rPr>
        <w:t>ONAH 2025/2026 IN 2026/2027</w:t>
      </w:r>
    </w:p>
    <w:p w14:paraId="461E2F2D" w14:textId="1CDE59EC" w:rsidR="00B92333" w:rsidRDefault="00B92333" w:rsidP="00005464">
      <w:pPr>
        <w:jc w:val="center"/>
        <w:rPr>
          <w:sz w:val="28"/>
          <w:szCs w:val="28"/>
        </w:rPr>
      </w:pPr>
      <w:r>
        <w:rPr>
          <w:sz w:val="28"/>
          <w:szCs w:val="28"/>
        </w:rPr>
        <w:t>BREZPLAČNA SMUKA ZA PREBIVALCE OBČINE PODPORNIC OZ. DEPRIVILIGIRANE SKUPINE PREBIVALCEV OBČIN PODPORNIC</w:t>
      </w:r>
    </w:p>
    <w:p w14:paraId="153EDA54" w14:textId="77777777" w:rsidR="006E47EE" w:rsidRDefault="006E47EE" w:rsidP="00005464">
      <w:pPr>
        <w:jc w:val="center"/>
        <w:rPr>
          <w:sz w:val="28"/>
          <w:szCs w:val="28"/>
        </w:rPr>
      </w:pPr>
    </w:p>
    <w:p w14:paraId="157222F5" w14:textId="5C54324E" w:rsidR="006E47EE" w:rsidRDefault="006E47EE" w:rsidP="00005464">
      <w:pPr>
        <w:jc w:val="center"/>
        <w:rPr>
          <w:noProof/>
        </w:rPr>
      </w:pPr>
      <w:r>
        <w:rPr>
          <w:noProof/>
        </w:rPr>
        <w:drawing>
          <wp:inline distT="0" distB="0" distL="0" distR="0" wp14:anchorId="251AB78C" wp14:editId="42777915">
            <wp:extent cx="4680000" cy="2635119"/>
            <wp:effectExtent l="266700" t="0" r="406400" b="32385"/>
            <wp:docPr id="2" name="Slika 1" descr="Smučarski center Gače nad Črmošnjicami - Bela krajina | TIC Semi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mučarski center Gače nad Črmošnjicami - Bela krajina | TIC Semič"/>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80000" cy="2635119"/>
                    </a:xfrm>
                    <a:prstGeom prst="rect">
                      <a:avLst/>
                    </a:prstGeom>
                    <a:solidFill>
                      <a:srgbClr val="FFFFFF">
                        <a:shade val="85000"/>
                      </a:srgbClr>
                    </a:solidFill>
                    <a:ln w="101600" cap="sq">
                      <a:solidFill>
                        <a:srgbClr val="FDFDFD"/>
                      </a:solidFill>
                      <a:miter lim="800000"/>
                    </a:ln>
                    <a:effectLst>
                      <a:outerShdw blurRad="57150" dist="37500" dir="7560000" sy="98000" kx="110000" ky="200000" algn="tl" rotWithShape="0">
                        <a:srgbClr val="000000">
                          <a:alpha val="20000"/>
                        </a:srgbClr>
                      </a:outerShdw>
                    </a:effectLst>
                    <a:scene3d>
                      <a:camera prst="perspectiveRelaxed">
                        <a:rot lat="18960000" lon="0" rev="0"/>
                      </a:camera>
                      <a:lightRig rig="twoPt" dir="t">
                        <a:rot lat="0" lon="0" rev="7200000"/>
                      </a:lightRig>
                    </a:scene3d>
                    <a:sp3d prstMaterial="matte">
                      <a:bevelT w="22860" h="12700"/>
                      <a:contourClr>
                        <a:srgbClr val="FFFFFF"/>
                      </a:contourClr>
                    </a:sp3d>
                  </pic:spPr>
                </pic:pic>
              </a:graphicData>
            </a:graphic>
          </wp:inline>
        </w:drawing>
      </w:r>
    </w:p>
    <w:p w14:paraId="6AC0E5D7" w14:textId="77777777" w:rsidR="006E47EE" w:rsidRPr="006E47EE" w:rsidRDefault="006E47EE" w:rsidP="00005464">
      <w:pPr>
        <w:rPr>
          <w:sz w:val="28"/>
          <w:szCs w:val="28"/>
        </w:rPr>
      </w:pPr>
    </w:p>
    <w:p w14:paraId="4532BAB1" w14:textId="77777777" w:rsidR="006E47EE" w:rsidRDefault="006E47EE" w:rsidP="00005464">
      <w:pPr>
        <w:rPr>
          <w:noProof/>
        </w:rPr>
      </w:pPr>
    </w:p>
    <w:p w14:paraId="5F13BD42" w14:textId="25BF9ECF" w:rsidR="006E47EE" w:rsidRDefault="006E47EE" w:rsidP="00005464">
      <w:pPr>
        <w:tabs>
          <w:tab w:val="left" w:pos="2552"/>
        </w:tabs>
        <w:rPr>
          <w:sz w:val="28"/>
          <w:szCs w:val="28"/>
        </w:rPr>
      </w:pPr>
      <w:r>
        <w:rPr>
          <w:sz w:val="28"/>
          <w:szCs w:val="28"/>
        </w:rPr>
        <w:lastRenderedPageBreak/>
        <w:tab/>
      </w:r>
    </w:p>
    <w:p w14:paraId="433C31EF" w14:textId="32B8656A" w:rsidR="006E47EE" w:rsidRDefault="006E47EE" w:rsidP="00005464">
      <w:pPr>
        <w:rPr>
          <w:sz w:val="28"/>
          <w:szCs w:val="28"/>
        </w:rPr>
      </w:pPr>
      <w:r>
        <w:rPr>
          <w:sz w:val="28"/>
          <w:szCs w:val="28"/>
        </w:rPr>
        <w:t>KAZALO</w:t>
      </w:r>
    </w:p>
    <w:p w14:paraId="3F6E5870" w14:textId="2FECFC98" w:rsidR="008C50D4" w:rsidRDefault="00C45FDE">
      <w:pPr>
        <w:pStyle w:val="Kazalovsebine1"/>
        <w:tabs>
          <w:tab w:val="left" w:pos="851"/>
          <w:tab w:val="right" w:leader="dot" w:pos="9062"/>
        </w:tabs>
        <w:rPr>
          <w:rFonts w:eastAsiaTheme="minorEastAsia" w:cstheme="minorBidi"/>
          <w:b w:val="0"/>
          <w:bCs w:val="0"/>
          <w:caps w:val="0"/>
          <w:noProof/>
          <w:sz w:val="22"/>
          <w:szCs w:val="22"/>
          <w:lang w:eastAsia="sl-SI"/>
        </w:rPr>
      </w:pPr>
      <w:r>
        <w:rPr>
          <w:sz w:val="28"/>
          <w:szCs w:val="28"/>
        </w:rPr>
        <w:fldChar w:fldCharType="begin"/>
      </w:r>
      <w:r>
        <w:rPr>
          <w:sz w:val="28"/>
          <w:szCs w:val="28"/>
        </w:rPr>
        <w:instrText xml:space="preserve"> TOC \o "1-3" \h \z \u </w:instrText>
      </w:r>
      <w:r>
        <w:rPr>
          <w:sz w:val="28"/>
          <w:szCs w:val="28"/>
        </w:rPr>
        <w:fldChar w:fldCharType="separate"/>
      </w:r>
      <w:hyperlink w:anchor="_Toc180049333" w:history="1">
        <w:r w:rsidR="008C50D4" w:rsidRPr="005417CF">
          <w:rPr>
            <w:rStyle w:val="Hiperpovezava"/>
            <w:noProof/>
          </w:rPr>
          <w:t>1.</w:t>
        </w:r>
        <w:r w:rsidR="008C50D4">
          <w:rPr>
            <w:rFonts w:eastAsiaTheme="minorEastAsia" w:cstheme="minorBidi"/>
            <w:b w:val="0"/>
            <w:bCs w:val="0"/>
            <w:caps w:val="0"/>
            <w:noProof/>
            <w:sz w:val="22"/>
            <w:szCs w:val="22"/>
            <w:lang w:eastAsia="sl-SI"/>
          </w:rPr>
          <w:tab/>
        </w:r>
        <w:r w:rsidR="008C50D4" w:rsidRPr="005417CF">
          <w:rPr>
            <w:rStyle w:val="Hiperpovezava"/>
            <w:noProof/>
          </w:rPr>
          <w:t>SEDANJE STANJE</w:t>
        </w:r>
        <w:r w:rsidR="008C50D4">
          <w:rPr>
            <w:noProof/>
            <w:webHidden/>
          </w:rPr>
          <w:tab/>
        </w:r>
        <w:r w:rsidR="008C50D4">
          <w:rPr>
            <w:noProof/>
            <w:webHidden/>
          </w:rPr>
          <w:fldChar w:fldCharType="begin"/>
        </w:r>
        <w:r w:rsidR="008C50D4">
          <w:rPr>
            <w:noProof/>
            <w:webHidden/>
          </w:rPr>
          <w:instrText xml:space="preserve"> PAGEREF _Toc180049333 \h </w:instrText>
        </w:r>
        <w:r w:rsidR="008C50D4">
          <w:rPr>
            <w:noProof/>
            <w:webHidden/>
          </w:rPr>
        </w:r>
        <w:r w:rsidR="008C50D4">
          <w:rPr>
            <w:noProof/>
            <w:webHidden/>
          </w:rPr>
          <w:fldChar w:fldCharType="separate"/>
        </w:r>
        <w:r w:rsidR="00524CDE">
          <w:rPr>
            <w:noProof/>
            <w:webHidden/>
          </w:rPr>
          <w:t>3</w:t>
        </w:r>
        <w:r w:rsidR="008C50D4">
          <w:rPr>
            <w:noProof/>
            <w:webHidden/>
          </w:rPr>
          <w:fldChar w:fldCharType="end"/>
        </w:r>
      </w:hyperlink>
    </w:p>
    <w:p w14:paraId="07438EEB" w14:textId="3C49B383" w:rsidR="008C50D4" w:rsidRDefault="008C50D4">
      <w:pPr>
        <w:pStyle w:val="Kazalovsebine2"/>
        <w:rPr>
          <w:rFonts w:eastAsiaTheme="minorEastAsia" w:cstheme="minorBidi"/>
          <w:smallCaps w:val="0"/>
          <w:noProof/>
          <w:sz w:val="22"/>
          <w:szCs w:val="22"/>
          <w:lang w:eastAsia="sl-SI"/>
        </w:rPr>
      </w:pPr>
      <w:hyperlink w:anchor="_Toc180049334" w:history="1">
        <w:r w:rsidRPr="005417CF">
          <w:rPr>
            <w:rStyle w:val="Hiperpovezava"/>
            <w:noProof/>
          </w:rPr>
          <w:t>1.1.</w:t>
        </w:r>
        <w:r>
          <w:rPr>
            <w:rFonts w:eastAsiaTheme="minorEastAsia" w:cstheme="minorBidi"/>
            <w:smallCaps w:val="0"/>
            <w:noProof/>
            <w:sz w:val="22"/>
            <w:szCs w:val="22"/>
            <w:lang w:eastAsia="sl-SI"/>
          </w:rPr>
          <w:tab/>
        </w:r>
        <w:r w:rsidRPr="005417CF">
          <w:rPr>
            <w:rStyle w:val="Hiperpovezava"/>
            <w:noProof/>
          </w:rPr>
          <w:t>Uvodno pojasnilo</w:t>
        </w:r>
        <w:r>
          <w:rPr>
            <w:noProof/>
            <w:webHidden/>
          </w:rPr>
          <w:tab/>
        </w:r>
        <w:r>
          <w:rPr>
            <w:noProof/>
            <w:webHidden/>
          </w:rPr>
          <w:fldChar w:fldCharType="begin"/>
        </w:r>
        <w:r>
          <w:rPr>
            <w:noProof/>
            <w:webHidden/>
          </w:rPr>
          <w:instrText xml:space="preserve"> PAGEREF _Toc180049334 \h </w:instrText>
        </w:r>
        <w:r>
          <w:rPr>
            <w:noProof/>
            <w:webHidden/>
          </w:rPr>
        </w:r>
        <w:r>
          <w:rPr>
            <w:noProof/>
            <w:webHidden/>
          </w:rPr>
          <w:fldChar w:fldCharType="separate"/>
        </w:r>
        <w:r w:rsidR="00524CDE">
          <w:rPr>
            <w:noProof/>
            <w:webHidden/>
          </w:rPr>
          <w:t>3</w:t>
        </w:r>
        <w:r>
          <w:rPr>
            <w:noProof/>
            <w:webHidden/>
          </w:rPr>
          <w:fldChar w:fldCharType="end"/>
        </w:r>
      </w:hyperlink>
    </w:p>
    <w:p w14:paraId="45CE72C3" w14:textId="13FFA9D6" w:rsidR="008C50D4" w:rsidRDefault="008C50D4">
      <w:pPr>
        <w:pStyle w:val="Kazalovsebine2"/>
        <w:rPr>
          <w:rFonts w:eastAsiaTheme="minorEastAsia" w:cstheme="minorBidi"/>
          <w:smallCaps w:val="0"/>
          <w:noProof/>
          <w:sz w:val="22"/>
          <w:szCs w:val="22"/>
          <w:lang w:eastAsia="sl-SI"/>
        </w:rPr>
      </w:pPr>
      <w:hyperlink w:anchor="_Toc180049335" w:history="1">
        <w:r w:rsidRPr="005417CF">
          <w:rPr>
            <w:rStyle w:val="Hiperpovezava"/>
            <w:noProof/>
          </w:rPr>
          <w:t>1.2.</w:t>
        </w:r>
        <w:r>
          <w:rPr>
            <w:rFonts w:eastAsiaTheme="minorEastAsia" w:cstheme="minorBidi"/>
            <w:smallCaps w:val="0"/>
            <w:noProof/>
            <w:sz w:val="22"/>
            <w:szCs w:val="22"/>
            <w:lang w:eastAsia="sl-SI"/>
          </w:rPr>
          <w:tab/>
        </w:r>
        <w:r w:rsidRPr="005417CF">
          <w:rPr>
            <w:rStyle w:val="Hiperpovezava"/>
            <w:noProof/>
          </w:rPr>
          <w:t>Kratka predstavitev RTC Gače</w:t>
        </w:r>
        <w:r>
          <w:rPr>
            <w:noProof/>
            <w:webHidden/>
          </w:rPr>
          <w:tab/>
        </w:r>
        <w:r>
          <w:rPr>
            <w:noProof/>
            <w:webHidden/>
          </w:rPr>
          <w:fldChar w:fldCharType="begin"/>
        </w:r>
        <w:r>
          <w:rPr>
            <w:noProof/>
            <w:webHidden/>
          </w:rPr>
          <w:instrText xml:space="preserve"> PAGEREF _Toc180049335 \h </w:instrText>
        </w:r>
        <w:r>
          <w:rPr>
            <w:noProof/>
            <w:webHidden/>
          </w:rPr>
        </w:r>
        <w:r>
          <w:rPr>
            <w:noProof/>
            <w:webHidden/>
          </w:rPr>
          <w:fldChar w:fldCharType="separate"/>
        </w:r>
        <w:r w:rsidR="00524CDE">
          <w:rPr>
            <w:noProof/>
            <w:webHidden/>
          </w:rPr>
          <w:t>3</w:t>
        </w:r>
        <w:r>
          <w:rPr>
            <w:noProof/>
            <w:webHidden/>
          </w:rPr>
          <w:fldChar w:fldCharType="end"/>
        </w:r>
      </w:hyperlink>
    </w:p>
    <w:p w14:paraId="1C156ED2" w14:textId="2909442D" w:rsidR="008C50D4" w:rsidRDefault="008C50D4">
      <w:pPr>
        <w:pStyle w:val="Kazalovsebine2"/>
        <w:rPr>
          <w:rFonts w:eastAsiaTheme="minorEastAsia" w:cstheme="minorBidi"/>
          <w:smallCaps w:val="0"/>
          <w:noProof/>
          <w:sz w:val="22"/>
          <w:szCs w:val="22"/>
          <w:lang w:eastAsia="sl-SI"/>
        </w:rPr>
      </w:pPr>
      <w:hyperlink w:anchor="_Toc180049336" w:history="1">
        <w:r w:rsidRPr="005417CF">
          <w:rPr>
            <w:rStyle w:val="Hiperpovezava"/>
            <w:noProof/>
          </w:rPr>
          <w:t>1.3.</w:t>
        </w:r>
        <w:r>
          <w:rPr>
            <w:rFonts w:eastAsiaTheme="minorEastAsia" w:cstheme="minorBidi"/>
            <w:smallCaps w:val="0"/>
            <w:noProof/>
            <w:sz w:val="22"/>
            <w:szCs w:val="22"/>
            <w:lang w:eastAsia="sl-SI"/>
          </w:rPr>
          <w:tab/>
        </w:r>
        <w:r w:rsidRPr="005417CF">
          <w:rPr>
            <w:rStyle w:val="Hiperpovezava"/>
            <w:noProof/>
          </w:rPr>
          <w:t>Predvidene investicije</w:t>
        </w:r>
        <w:r>
          <w:rPr>
            <w:noProof/>
            <w:webHidden/>
          </w:rPr>
          <w:tab/>
        </w:r>
        <w:r>
          <w:rPr>
            <w:noProof/>
            <w:webHidden/>
          </w:rPr>
          <w:fldChar w:fldCharType="begin"/>
        </w:r>
        <w:r>
          <w:rPr>
            <w:noProof/>
            <w:webHidden/>
          </w:rPr>
          <w:instrText xml:space="preserve"> PAGEREF _Toc180049336 \h </w:instrText>
        </w:r>
        <w:r>
          <w:rPr>
            <w:noProof/>
            <w:webHidden/>
          </w:rPr>
        </w:r>
        <w:r>
          <w:rPr>
            <w:noProof/>
            <w:webHidden/>
          </w:rPr>
          <w:fldChar w:fldCharType="separate"/>
        </w:r>
        <w:r w:rsidR="00524CDE">
          <w:rPr>
            <w:noProof/>
            <w:webHidden/>
          </w:rPr>
          <w:t>5</w:t>
        </w:r>
        <w:r>
          <w:rPr>
            <w:noProof/>
            <w:webHidden/>
          </w:rPr>
          <w:fldChar w:fldCharType="end"/>
        </w:r>
      </w:hyperlink>
    </w:p>
    <w:p w14:paraId="7D4928CE" w14:textId="1FFB5BA3" w:rsidR="008C50D4" w:rsidRDefault="008C50D4">
      <w:pPr>
        <w:pStyle w:val="Kazalovsebine2"/>
        <w:rPr>
          <w:rFonts w:eastAsiaTheme="minorEastAsia" w:cstheme="minorBidi"/>
          <w:smallCaps w:val="0"/>
          <w:noProof/>
          <w:sz w:val="22"/>
          <w:szCs w:val="22"/>
          <w:lang w:eastAsia="sl-SI"/>
        </w:rPr>
      </w:pPr>
      <w:hyperlink w:anchor="_Toc180049337" w:history="1">
        <w:r w:rsidRPr="005417CF">
          <w:rPr>
            <w:rStyle w:val="Hiperpovezava"/>
            <w:noProof/>
          </w:rPr>
          <w:t>1.4.</w:t>
        </w:r>
        <w:r>
          <w:rPr>
            <w:rFonts w:eastAsiaTheme="minorEastAsia" w:cstheme="minorBidi"/>
            <w:smallCaps w:val="0"/>
            <w:noProof/>
            <w:sz w:val="22"/>
            <w:szCs w:val="22"/>
            <w:lang w:eastAsia="sl-SI"/>
          </w:rPr>
          <w:tab/>
        </w:r>
        <w:r w:rsidRPr="005417CF">
          <w:rPr>
            <w:rStyle w:val="Hiperpovezava"/>
            <w:noProof/>
          </w:rPr>
          <w:t>Stroški obratovanja in vzdrževanja smučišča, ki bremenijo nadaljnji razvoj RTC Gače</w:t>
        </w:r>
        <w:r>
          <w:rPr>
            <w:noProof/>
            <w:webHidden/>
          </w:rPr>
          <w:tab/>
        </w:r>
        <w:r>
          <w:rPr>
            <w:noProof/>
            <w:webHidden/>
          </w:rPr>
          <w:fldChar w:fldCharType="begin"/>
        </w:r>
        <w:r>
          <w:rPr>
            <w:noProof/>
            <w:webHidden/>
          </w:rPr>
          <w:instrText xml:space="preserve"> PAGEREF _Toc180049337 \h </w:instrText>
        </w:r>
        <w:r>
          <w:rPr>
            <w:noProof/>
            <w:webHidden/>
          </w:rPr>
        </w:r>
        <w:r>
          <w:rPr>
            <w:noProof/>
            <w:webHidden/>
          </w:rPr>
          <w:fldChar w:fldCharType="separate"/>
        </w:r>
        <w:r w:rsidR="00524CDE">
          <w:rPr>
            <w:noProof/>
            <w:webHidden/>
          </w:rPr>
          <w:t>7</w:t>
        </w:r>
        <w:r>
          <w:rPr>
            <w:noProof/>
            <w:webHidden/>
          </w:rPr>
          <w:fldChar w:fldCharType="end"/>
        </w:r>
      </w:hyperlink>
    </w:p>
    <w:p w14:paraId="7AAF61B7" w14:textId="0F6E99A5" w:rsidR="008C50D4" w:rsidRDefault="008C50D4">
      <w:pPr>
        <w:pStyle w:val="Kazalovsebine1"/>
        <w:tabs>
          <w:tab w:val="left" w:pos="851"/>
          <w:tab w:val="right" w:leader="dot" w:pos="9062"/>
        </w:tabs>
        <w:rPr>
          <w:rFonts w:eastAsiaTheme="minorEastAsia" w:cstheme="minorBidi"/>
          <w:b w:val="0"/>
          <w:bCs w:val="0"/>
          <w:caps w:val="0"/>
          <w:noProof/>
          <w:sz w:val="22"/>
          <w:szCs w:val="22"/>
          <w:lang w:eastAsia="sl-SI"/>
        </w:rPr>
      </w:pPr>
      <w:hyperlink w:anchor="_Toc180049338" w:history="1">
        <w:r w:rsidRPr="005417CF">
          <w:rPr>
            <w:rStyle w:val="Hiperpovezava"/>
            <w:noProof/>
          </w:rPr>
          <w:t>2.</w:t>
        </w:r>
        <w:r>
          <w:rPr>
            <w:rFonts w:eastAsiaTheme="minorEastAsia" w:cstheme="minorBidi"/>
            <w:b w:val="0"/>
            <w:bCs w:val="0"/>
            <w:caps w:val="0"/>
            <w:noProof/>
            <w:sz w:val="22"/>
            <w:szCs w:val="22"/>
            <w:lang w:eastAsia="sl-SI"/>
          </w:rPr>
          <w:tab/>
        </w:r>
        <w:r w:rsidRPr="005417CF">
          <w:rPr>
            <w:rStyle w:val="Hiperpovezava"/>
            <w:noProof/>
          </w:rPr>
          <w:t>POMOČ OBČIN PODPORNIC</w:t>
        </w:r>
        <w:r>
          <w:rPr>
            <w:noProof/>
            <w:webHidden/>
          </w:rPr>
          <w:tab/>
        </w:r>
        <w:r>
          <w:rPr>
            <w:noProof/>
            <w:webHidden/>
          </w:rPr>
          <w:fldChar w:fldCharType="begin"/>
        </w:r>
        <w:r>
          <w:rPr>
            <w:noProof/>
            <w:webHidden/>
          </w:rPr>
          <w:instrText xml:space="preserve"> PAGEREF _Toc180049338 \h </w:instrText>
        </w:r>
        <w:r>
          <w:rPr>
            <w:noProof/>
            <w:webHidden/>
          </w:rPr>
        </w:r>
        <w:r>
          <w:rPr>
            <w:noProof/>
            <w:webHidden/>
          </w:rPr>
          <w:fldChar w:fldCharType="separate"/>
        </w:r>
        <w:r w:rsidR="00524CDE">
          <w:rPr>
            <w:noProof/>
            <w:webHidden/>
          </w:rPr>
          <w:t>9</w:t>
        </w:r>
        <w:r>
          <w:rPr>
            <w:noProof/>
            <w:webHidden/>
          </w:rPr>
          <w:fldChar w:fldCharType="end"/>
        </w:r>
      </w:hyperlink>
    </w:p>
    <w:p w14:paraId="3544A57D" w14:textId="75186D3A" w:rsidR="008C50D4" w:rsidRDefault="008C50D4">
      <w:pPr>
        <w:pStyle w:val="Kazalovsebine2"/>
        <w:rPr>
          <w:rFonts w:eastAsiaTheme="minorEastAsia" w:cstheme="minorBidi"/>
          <w:smallCaps w:val="0"/>
          <w:noProof/>
          <w:sz w:val="22"/>
          <w:szCs w:val="22"/>
          <w:lang w:eastAsia="sl-SI"/>
        </w:rPr>
      </w:pPr>
      <w:hyperlink w:anchor="_Toc180049339" w:history="1">
        <w:r w:rsidRPr="005417CF">
          <w:rPr>
            <w:rStyle w:val="Hiperpovezava"/>
            <w:noProof/>
          </w:rPr>
          <w:t>2.1.</w:t>
        </w:r>
        <w:r>
          <w:rPr>
            <w:rFonts w:eastAsiaTheme="minorEastAsia" w:cstheme="minorBidi"/>
            <w:smallCaps w:val="0"/>
            <w:noProof/>
            <w:sz w:val="22"/>
            <w:szCs w:val="22"/>
            <w:lang w:eastAsia="sl-SI"/>
          </w:rPr>
          <w:tab/>
        </w:r>
        <w:r w:rsidRPr="005417CF">
          <w:rPr>
            <w:rStyle w:val="Hiperpovezava"/>
            <w:noProof/>
          </w:rPr>
          <w:t>Pomen smučišča za širšo regijo in občine podpornice</w:t>
        </w:r>
        <w:r>
          <w:rPr>
            <w:noProof/>
            <w:webHidden/>
          </w:rPr>
          <w:tab/>
        </w:r>
        <w:r>
          <w:rPr>
            <w:noProof/>
            <w:webHidden/>
          </w:rPr>
          <w:fldChar w:fldCharType="begin"/>
        </w:r>
        <w:r>
          <w:rPr>
            <w:noProof/>
            <w:webHidden/>
          </w:rPr>
          <w:instrText xml:space="preserve"> PAGEREF _Toc180049339 \h </w:instrText>
        </w:r>
        <w:r>
          <w:rPr>
            <w:noProof/>
            <w:webHidden/>
          </w:rPr>
        </w:r>
        <w:r>
          <w:rPr>
            <w:noProof/>
            <w:webHidden/>
          </w:rPr>
          <w:fldChar w:fldCharType="separate"/>
        </w:r>
        <w:r w:rsidR="00524CDE">
          <w:rPr>
            <w:noProof/>
            <w:webHidden/>
          </w:rPr>
          <w:t>9</w:t>
        </w:r>
        <w:r>
          <w:rPr>
            <w:noProof/>
            <w:webHidden/>
          </w:rPr>
          <w:fldChar w:fldCharType="end"/>
        </w:r>
      </w:hyperlink>
    </w:p>
    <w:p w14:paraId="258D7791" w14:textId="720E1D67" w:rsidR="008C50D4" w:rsidRDefault="008C50D4">
      <w:pPr>
        <w:pStyle w:val="Kazalovsebine2"/>
        <w:rPr>
          <w:rFonts w:eastAsiaTheme="minorEastAsia" w:cstheme="minorBidi"/>
          <w:smallCaps w:val="0"/>
          <w:noProof/>
          <w:sz w:val="22"/>
          <w:szCs w:val="22"/>
          <w:lang w:eastAsia="sl-SI"/>
        </w:rPr>
      </w:pPr>
      <w:hyperlink w:anchor="_Toc180049340" w:history="1">
        <w:r w:rsidRPr="005417CF">
          <w:rPr>
            <w:rStyle w:val="Hiperpovezava"/>
            <w:noProof/>
          </w:rPr>
          <w:t>2.2.</w:t>
        </w:r>
        <w:r>
          <w:rPr>
            <w:rFonts w:eastAsiaTheme="minorEastAsia" w:cstheme="minorBidi"/>
            <w:smallCaps w:val="0"/>
            <w:noProof/>
            <w:sz w:val="22"/>
            <w:szCs w:val="22"/>
            <w:lang w:eastAsia="sl-SI"/>
          </w:rPr>
          <w:tab/>
        </w:r>
        <w:r w:rsidRPr="005417CF">
          <w:rPr>
            <w:rStyle w:val="Hiperpovezava"/>
            <w:noProof/>
          </w:rPr>
          <w:t>Določitev ključa delitve</w:t>
        </w:r>
        <w:r>
          <w:rPr>
            <w:noProof/>
            <w:webHidden/>
          </w:rPr>
          <w:tab/>
        </w:r>
        <w:r>
          <w:rPr>
            <w:noProof/>
            <w:webHidden/>
          </w:rPr>
          <w:fldChar w:fldCharType="begin"/>
        </w:r>
        <w:r>
          <w:rPr>
            <w:noProof/>
            <w:webHidden/>
          </w:rPr>
          <w:instrText xml:space="preserve"> PAGEREF _Toc180049340 \h </w:instrText>
        </w:r>
        <w:r>
          <w:rPr>
            <w:noProof/>
            <w:webHidden/>
          </w:rPr>
        </w:r>
        <w:r>
          <w:rPr>
            <w:noProof/>
            <w:webHidden/>
          </w:rPr>
          <w:fldChar w:fldCharType="separate"/>
        </w:r>
        <w:r w:rsidR="00524CDE">
          <w:rPr>
            <w:noProof/>
            <w:webHidden/>
          </w:rPr>
          <w:t>10</w:t>
        </w:r>
        <w:r>
          <w:rPr>
            <w:noProof/>
            <w:webHidden/>
          </w:rPr>
          <w:fldChar w:fldCharType="end"/>
        </w:r>
      </w:hyperlink>
    </w:p>
    <w:p w14:paraId="3F30B045" w14:textId="47E9A383" w:rsidR="008C50D4" w:rsidRDefault="008C50D4">
      <w:pPr>
        <w:pStyle w:val="Kazalovsebine2"/>
        <w:rPr>
          <w:rFonts w:eastAsiaTheme="minorEastAsia" w:cstheme="minorBidi"/>
          <w:smallCaps w:val="0"/>
          <w:noProof/>
          <w:sz w:val="22"/>
          <w:szCs w:val="22"/>
          <w:lang w:eastAsia="sl-SI"/>
        </w:rPr>
      </w:pPr>
      <w:hyperlink w:anchor="_Toc180049341" w:history="1">
        <w:r w:rsidRPr="005417CF">
          <w:rPr>
            <w:rStyle w:val="Hiperpovezava"/>
            <w:noProof/>
          </w:rPr>
          <w:t>2.3.</w:t>
        </w:r>
        <w:r>
          <w:rPr>
            <w:rFonts w:eastAsiaTheme="minorEastAsia" w:cstheme="minorBidi"/>
            <w:smallCaps w:val="0"/>
            <w:noProof/>
            <w:sz w:val="22"/>
            <w:szCs w:val="22"/>
            <w:lang w:eastAsia="sl-SI"/>
          </w:rPr>
          <w:tab/>
        </w:r>
        <w:r w:rsidRPr="005417CF">
          <w:rPr>
            <w:rStyle w:val="Hiperpovezava"/>
            <w:noProof/>
          </w:rPr>
          <w:t>Višina zaprošenih sredstev in bonitete za občine</w:t>
        </w:r>
        <w:r>
          <w:rPr>
            <w:noProof/>
            <w:webHidden/>
          </w:rPr>
          <w:tab/>
        </w:r>
        <w:r>
          <w:rPr>
            <w:noProof/>
            <w:webHidden/>
          </w:rPr>
          <w:fldChar w:fldCharType="begin"/>
        </w:r>
        <w:r>
          <w:rPr>
            <w:noProof/>
            <w:webHidden/>
          </w:rPr>
          <w:instrText xml:space="preserve"> PAGEREF _Toc180049341 \h </w:instrText>
        </w:r>
        <w:r>
          <w:rPr>
            <w:noProof/>
            <w:webHidden/>
          </w:rPr>
        </w:r>
        <w:r>
          <w:rPr>
            <w:noProof/>
            <w:webHidden/>
          </w:rPr>
          <w:fldChar w:fldCharType="separate"/>
        </w:r>
        <w:r w:rsidR="00524CDE">
          <w:rPr>
            <w:noProof/>
            <w:webHidden/>
          </w:rPr>
          <w:t>10</w:t>
        </w:r>
        <w:r>
          <w:rPr>
            <w:noProof/>
            <w:webHidden/>
          </w:rPr>
          <w:fldChar w:fldCharType="end"/>
        </w:r>
      </w:hyperlink>
    </w:p>
    <w:p w14:paraId="49E7228E" w14:textId="592A952D" w:rsidR="008C50D4" w:rsidRDefault="008C50D4">
      <w:pPr>
        <w:pStyle w:val="Kazalovsebine1"/>
        <w:tabs>
          <w:tab w:val="left" w:pos="851"/>
          <w:tab w:val="right" w:leader="dot" w:pos="9062"/>
        </w:tabs>
        <w:rPr>
          <w:rFonts w:eastAsiaTheme="minorEastAsia" w:cstheme="minorBidi"/>
          <w:b w:val="0"/>
          <w:bCs w:val="0"/>
          <w:caps w:val="0"/>
          <w:noProof/>
          <w:sz w:val="22"/>
          <w:szCs w:val="22"/>
          <w:lang w:eastAsia="sl-SI"/>
        </w:rPr>
      </w:pPr>
      <w:hyperlink w:anchor="_Toc180049342" w:history="1">
        <w:r w:rsidRPr="005417CF">
          <w:rPr>
            <w:rStyle w:val="Hiperpovezava"/>
            <w:noProof/>
          </w:rPr>
          <w:t>3.</w:t>
        </w:r>
        <w:r>
          <w:rPr>
            <w:rFonts w:eastAsiaTheme="minorEastAsia" w:cstheme="minorBidi"/>
            <w:b w:val="0"/>
            <w:bCs w:val="0"/>
            <w:caps w:val="0"/>
            <w:noProof/>
            <w:sz w:val="22"/>
            <w:szCs w:val="22"/>
            <w:lang w:eastAsia="sl-SI"/>
          </w:rPr>
          <w:tab/>
        </w:r>
        <w:r w:rsidRPr="005417CF">
          <w:rPr>
            <w:rStyle w:val="Hiperpovezava"/>
            <w:noProof/>
          </w:rPr>
          <w:t>DELITEV STROŠKOV MED OBČINE PODPORNICE</w:t>
        </w:r>
        <w:r>
          <w:rPr>
            <w:noProof/>
            <w:webHidden/>
          </w:rPr>
          <w:tab/>
        </w:r>
        <w:r>
          <w:rPr>
            <w:noProof/>
            <w:webHidden/>
          </w:rPr>
          <w:fldChar w:fldCharType="begin"/>
        </w:r>
        <w:r>
          <w:rPr>
            <w:noProof/>
            <w:webHidden/>
          </w:rPr>
          <w:instrText xml:space="preserve"> PAGEREF _Toc180049342 \h </w:instrText>
        </w:r>
        <w:r>
          <w:rPr>
            <w:noProof/>
            <w:webHidden/>
          </w:rPr>
        </w:r>
        <w:r>
          <w:rPr>
            <w:noProof/>
            <w:webHidden/>
          </w:rPr>
          <w:fldChar w:fldCharType="separate"/>
        </w:r>
        <w:r w:rsidR="00524CDE">
          <w:rPr>
            <w:noProof/>
            <w:webHidden/>
          </w:rPr>
          <w:t>11</w:t>
        </w:r>
        <w:r>
          <w:rPr>
            <w:noProof/>
            <w:webHidden/>
          </w:rPr>
          <w:fldChar w:fldCharType="end"/>
        </w:r>
      </w:hyperlink>
    </w:p>
    <w:p w14:paraId="4325731C" w14:textId="76E49B99" w:rsidR="008C50D4" w:rsidRDefault="008C50D4">
      <w:pPr>
        <w:pStyle w:val="Kazalovsebine2"/>
        <w:rPr>
          <w:rFonts w:eastAsiaTheme="minorEastAsia" w:cstheme="minorBidi"/>
          <w:smallCaps w:val="0"/>
          <w:noProof/>
          <w:sz w:val="22"/>
          <w:szCs w:val="22"/>
          <w:lang w:eastAsia="sl-SI"/>
        </w:rPr>
      </w:pPr>
      <w:hyperlink w:anchor="_Toc180049343" w:history="1">
        <w:r w:rsidRPr="005417CF">
          <w:rPr>
            <w:rStyle w:val="Hiperpovezava"/>
            <w:noProof/>
          </w:rPr>
          <w:t>3.1.</w:t>
        </w:r>
        <w:r>
          <w:rPr>
            <w:rFonts w:eastAsiaTheme="minorEastAsia" w:cstheme="minorBidi"/>
            <w:smallCaps w:val="0"/>
            <w:noProof/>
            <w:sz w:val="22"/>
            <w:szCs w:val="22"/>
            <w:lang w:eastAsia="sl-SI"/>
          </w:rPr>
          <w:tab/>
        </w:r>
        <w:r w:rsidRPr="005417CF">
          <w:rPr>
            <w:rStyle w:val="Hiperpovezava"/>
            <w:noProof/>
          </w:rPr>
          <w:t>Varianta A: delitev po številu prebivalcev, Občina Semič prispeva 30.000 EUR, Občini Metlika in Črnomelj vsaka po 15.000 EUR, Občina Dolenjske Toplice 5.000 EUR, Občina Kočevje 10.000 EUR in Mestna občina Novo mesto 26.500 EUR, preostala sredstva (48.500 EUR) pa ostale občine glede na št. prebivalcev (skupaj 150.000 EUR)</w:t>
        </w:r>
        <w:r>
          <w:rPr>
            <w:noProof/>
            <w:webHidden/>
          </w:rPr>
          <w:tab/>
        </w:r>
        <w:r>
          <w:rPr>
            <w:noProof/>
            <w:webHidden/>
          </w:rPr>
          <w:fldChar w:fldCharType="begin"/>
        </w:r>
        <w:r>
          <w:rPr>
            <w:noProof/>
            <w:webHidden/>
          </w:rPr>
          <w:instrText xml:space="preserve"> PAGEREF _Toc180049343 \h </w:instrText>
        </w:r>
        <w:r>
          <w:rPr>
            <w:noProof/>
            <w:webHidden/>
          </w:rPr>
        </w:r>
        <w:r>
          <w:rPr>
            <w:noProof/>
            <w:webHidden/>
          </w:rPr>
          <w:fldChar w:fldCharType="separate"/>
        </w:r>
        <w:r w:rsidR="00524CDE">
          <w:rPr>
            <w:noProof/>
            <w:webHidden/>
          </w:rPr>
          <w:t>11</w:t>
        </w:r>
        <w:r>
          <w:rPr>
            <w:noProof/>
            <w:webHidden/>
          </w:rPr>
          <w:fldChar w:fldCharType="end"/>
        </w:r>
      </w:hyperlink>
    </w:p>
    <w:p w14:paraId="0EBDC4A1" w14:textId="10AEE437" w:rsidR="008C50D4" w:rsidRDefault="008C50D4">
      <w:pPr>
        <w:pStyle w:val="Kazalovsebine1"/>
        <w:tabs>
          <w:tab w:val="left" w:pos="851"/>
          <w:tab w:val="right" w:leader="dot" w:pos="9062"/>
        </w:tabs>
        <w:rPr>
          <w:rFonts w:eastAsiaTheme="minorEastAsia" w:cstheme="minorBidi"/>
          <w:b w:val="0"/>
          <w:bCs w:val="0"/>
          <w:caps w:val="0"/>
          <w:noProof/>
          <w:sz w:val="22"/>
          <w:szCs w:val="22"/>
          <w:lang w:eastAsia="sl-SI"/>
        </w:rPr>
      </w:pPr>
      <w:hyperlink w:anchor="_Toc180049344" w:history="1">
        <w:r w:rsidRPr="005417CF">
          <w:rPr>
            <w:rStyle w:val="Hiperpovezava"/>
            <w:noProof/>
          </w:rPr>
          <w:t>4.</w:t>
        </w:r>
        <w:r>
          <w:rPr>
            <w:rFonts w:eastAsiaTheme="minorEastAsia" w:cstheme="minorBidi"/>
            <w:b w:val="0"/>
            <w:bCs w:val="0"/>
            <w:caps w:val="0"/>
            <w:noProof/>
            <w:sz w:val="22"/>
            <w:szCs w:val="22"/>
            <w:lang w:eastAsia="sl-SI"/>
          </w:rPr>
          <w:tab/>
        </w:r>
        <w:r w:rsidRPr="005417CF">
          <w:rPr>
            <w:rStyle w:val="Hiperpovezava"/>
            <w:noProof/>
          </w:rPr>
          <w:t>FINANCIRANJE, ORGANIZACIJSKI MODELI IN LASTNIŠTVO V TUJINI</w:t>
        </w:r>
        <w:r>
          <w:rPr>
            <w:noProof/>
            <w:webHidden/>
          </w:rPr>
          <w:tab/>
        </w:r>
        <w:r>
          <w:rPr>
            <w:noProof/>
            <w:webHidden/>
          </w:rPr>
          <w:fldChar w:fldCharType="begin"/>
        </w:r>
        <w:r>
          <w:rPr>
            <w:noProof/>
            <w:webHidden/>
          </w:rPr>
          <w:instrText xml:space="preserve"> PAGEREF _Toc180049344 \h </w:instrText>
        </w:r>
        <w:r>
          <w:rPr>
            <w:noProof/>
            <w:webHidden/>
          </w:rPr>
        </w:r>
        <w:r>
          <w:rPr>
            <w:noProof/>
            <w:webHidden/>
          </w:rPr>
          <w:fldChar w:fldCharType="separate"/>
        </w:r>
        <w:r w:rsidR="00524CDE">
          <w:rPr>
            <w:noProof/>
            <w:webHidden/>
          </w:rPr>
          <w:t>12</w:t>
        </w:r>
        <w:r>
          <w:rPr>
            <w:noProof/>
            <w:webHidden/>
          </w:rPr>
          <w:fldChar w:fldCharType="end"/>
        </w:r>
      </w:hyperlink>
    </w:p>
    <w:p w14:paraId="212D0498" w14:textId="63DF6BBF" w:rsidR="008C50D4" w:rsidRDefault="008C50D4">
      <w:pPr>
        <w:pStyle w:val="Kazalovsebine2"/>
        <w:rPr>
          <w:rFonts w:eastAsiaTheme="minorEastAsia" w:cstheme="minorBidi"/>
          <w:smallCaps w:val="0"/>
          <w:noProof/>
          <w:sz w:val="22"/>
          <w:szCs w:val="22"/>
          <w:lang w:eastAsia="sl-SI"/>
        </w:rPr>
      </w:pPr>
      <w:hyperlink w:anchor="_Toc180049345" w:history="1">
        <w:r w:rsidRPr="005417CF">
          <w:rPr>
            <w:rStyle w:val="Hiperpovezava"/>
            <w:noProof/>
          </w:rPr>
          <w:t>4.1.</w:t>
        </w:r>
        <w:r>
          <w:rPr>
            <w:rFonts w:eastAsiaTheme="minorEastAsia" w:cstheme="minorBidi"/>
            <w:smallCaps w:val="0"/>
            <w:noProof/>
            <w:sz w:val="22"/>
            <w:szCs w:val="22"/>
            <w:lang w:eastAsia="sl-SI"/>
          </w:rPr>
          <w:tab/>
        </w:r>
        <w:r w:rsidRPr="005417CF">
          <w:rPr>
            <w:rStyle w:val="Hiperpovezava"/>
            <w:noProof/>
          </w:rPr>
          <w:t>Finančni viri in načini financiranja v tujini</w:t>
        </w:r>
        <w:r>
          <w:rPr>
            <w:noProof/>
            <w:webHidden/>
          </w:rPr>
          <w:tab/>
        </w:r>
        <w:r>
          <w:rPr>
            <w:noProof/>
            <w:webHidden/>
          </w:rPr>
          <w:fldChar w:fldCharType="begin"/>
        </w:r>
        <w:r>
          <w:rPr>
            <w:noProof/>
            <w:webHidden/>
          </w:rPr>
          <w:instrText xml:space="preserve"> PAGEREF _Toc180049345 \h </w:instrText>
        </w:r>
        <w:r>
          <w:rPr>
            <w:noProof/>
            <w:webHidden/>
          </w:rPr>
        </w:r>
        <w:r>
          <w:rPr>
            <w:noProof/>
            <w:webHidden/>
          </w:rPr>
          <w:fldChar w:fldCharType="separate"/>
        </w:r>
        <w:r w:rsidR="00524CDE">
          <w:rPr>
            <w:noProof/>
            <w:webHidden/>
          </w:rPr>
          <w:t>12</w:t>
        </w:r>
        <w:r>
          <w:rPr>
            <w:noProof/>
            <w:webHidden/>
          </w:rPr>
          <w:fldChar w:fldCharType="end"/>
        </w:r>
      </w:hyperlink>
    </w:p>
    <w:p w14:paraId="57160639" w14:textId="579CA028" w:rsidR="008C50D4" w:rsidRDefault="008C50D4">
      <w:pPr>
        <w:pStyle w:val="Kazalovsebine2"/>
        <w:rPr>
          <w:rFonts w:eastAsiaTheme="minorEastAsia" w:cstheme="minorBidi"/>
          <w:smallCaps w:val="0"/>
          <w:noProof/>
          <w:sz w:val="22"/>
          <w:szCs w:val="22"/>
          <w:lang w:eastAsia="sl-SI"/>
        </w:rPr>
      </w:pPr>
      <w:hyperlink w:anchor="_Toc180049346" w:history="1">
        <w:r w:rsidRPr="005417CF">
          <w:rPr>
            <w:rStyle w:val="Hiperpovezava"/>
            <w:noProof/>
          </w:rPr>
          <w:t>4.2.</w:t>
        </w:r>
        <w:r>
          <w:rPr>
            <w:rFonts w:eastAsiaTheme="minorEastAsia" w:cstheme="minorBidi"/>
            <w:smallCaps w:val="0"/>
            <w:noProof/>
            <w:sz w:val="22"/>
            <w:szCs w:val="22"/>
            <w:lang w:eastAsia="sl-SI"/>
          </w:rPr>
          <w:tab/>
        </w:r>
        <w:r w:rsidRPr="005417CF">
          <w:rPr>
            <w:rStyle w:val="Hiperpovezava"/>
            <w:noProof/>
          </w:rPr>
          <w:t>Organizacijski modeli in lastništvo v tujini</w:t>
        </w:r>
        <w:r>
          <w:rPr>
            <w:noProof/>
            <w:webHidden/>
          </w:rPr>
          <w:tab/>
        </w:r>
        <w:r>
          <w:rPr>
            <w:noProof/>
            <w:webHidden/>
          </w:rPr>
          <w:fldChar w:fldCharType="begin"/>
        </w:r>
        <w:r>
          <w:rPr>
            <w:noProof/>
            <w:webHidden/>
          </w:rPr>
          <w:instrText xml:space="preserve"> PAGEREF _Toc180049346 \h </w:instrText>
        </w:r>
        <w:r>
          <w:rPr>
            <w:noProof/>
            <w:webHidden/>
          </w:rPr>
        </w:r>
        <w:r>
          <w:rPr>
            <w:noProof/>
            <w:webHidden/>
          </w:rPr>
          <w:fldChar w:fldCharType="separate"/>
        </w:r>
        <w:r w:rsidR="00524CDE">
          <w:rPr>
            <w:noProof/>
            <w:webHidden/>
          </w:rPr>
          <w:t>13</w:t>
        </w:r>
        <w:r>
          <w:rPr>
            <w:noProof/>
            <w:webHidden/>
          </w:rPr>
          <w:fldChar w:fldCharType="end"/>
        </w:r>
      </w:hyperlink>
    </w:p>
    <w:p w14:paraId="02F98BBB" w14:textId="0AFD3097" w:rsidR="008C50D4" w:rsidRDefault="008C50D4">
      <w:pPr>
        <w:pStyle w:val="Kazalovsebine1"/>
        <w:tabs>
          <w:tab w:val="left" w:pos="851"/>
          <w:tab w:val="right" w:leader="dot" w:pos="9062"/>
        </w:tabs>
        <w:rPr>
          <w:rFonts w:eastAsiaTheme="minorEastAsia" w:cstheme="minorBidi"/>
          <w:b w:val="0"/>
          <w:bCs w:val="0"/>
          <w:caps w:val="0"/>
          <w:noProof/>
          <w:sz w:val="22"/>
          <w:szCs w:val="22"/>
          <w:lang w:eastAsia="sl-SI"/>
        </w:rPr>
      </w:pPr>
      <w:hyperlink w:anchor="_Toc180049347" w:history="1">
        <w:r w:rsidRPr="005417CF">
          <w:rPr>
            <w:rStyle w:val="Hiperpovezava"/>
            <w:noProof/>
          </w:rPr>
          <w:t>5.</w:t>
        </w:r>
        <w:r>
          <w:rPr>
            <w:rFonts w:eastAsiaTheme="minorEastAsia" w:cstheme="minorBidi"/>
            <w:b w:val="0"/>
            <w:bCs w:val="0"/>
            <w:caps w:val="0"/>
            <w:noProof/>
            <w:sz w:val="22"/>
            <w:szCs w:val="22"/>
            <w:lang w:eastAsia="sl-SI"/>
          </w:rPr>
          <w:tab/>
        </w:r>
        <w:r w:rsidRPr="005417CF">
          <w:rPr>
            <w:rStyle w:val="Hiperpovezava"/>
            <w:noProof/>
          </w:rPr>
          <w:t>ZAKLJUČEK – PREDLOG UKREPOV ZA IZBOLJŠANJE STABILNOSTI OBRATOVANJA RTC GAČE</w:t>
        </w:r>
        <w:r>
          <w:rPr>
            <w:noProof/>
            <w:webHidden/>
          </w:rPr>
          <w:tab/>
        </w:r>
        <w:r>
          <w:rPr>
            <w:noProof/>
            <w:webHidden/>
          </w:rPr>
          <w:fldChar w:fldCharType="begin"/>
        </w:r>
        <w:r>
          <w:rPr>
            <w:noProof/>
            <w:webHidden/>
          </w:rPr>
          <w:instrText xml:space="preserve"> PAGEREF _Toc180049347 \h </w:instrText>
        </w:r>
        <w:r>
          <w:rPr>
            <w:noProof/>
            <w:webHidden/>
          </w:rPr>
        </w:r>
        <w:r>
          <w:rPr>
            <w:noProof/>
            <w:webHidden/>
          </w:rPr>
          <w:fldChar w:fldCharType="separate"/>
        </w:r>
        <w:r w:rsidR="00524CDE">
          <w:rPr>
            <w:noProof/>
            <w:webHidden/>
          </w:rPr>
          <w:t>14</w:t>
        </w:r>
        <w:r>
          <w:rPr>
            <w:noProof/>
            <w:webHidden/>
          </w:rPr>
          <w:fldChar w:fldCharType="end"/>
        </w:r>
      </w:hyperlink>
    </w:p>
    <w:p w14:paraId="6409A469" w14:textId="3A72424D" w:rsidR="006E47EE" w:rsidRDefault="00C45FDE" w:rsidP="00005464">
      <w:pPr>
        <w:rPr>
          <w:sz w:val="28"/>
          <w:szCs w:val="28"/>
        </w:rPr>
      </w:pPr>
      <w:r>
        <w:rPr>
          <w:sz w:val="28"/>
          <w:szCs w:val="28"/>
        </w:rPr>
        <w:fldChar w:fldCharType="end"/>
      </w:r>
      <w:r w:rsidR="006E47EE">
        <w:rPr>
          <w:sz w:val="28"/>
          <w:szCs w:val="28"/>
        </w:rPr>
        <w:br w:type="page"/>
      </w:r>
    </w:p>
    <w:p w14:paraId="3A0D6690" w14:textId="1DE44190" w:rsidR="006E47EE" w:rsidRDefault="00C25C89" w:rsidP="00005464">
      <w:pPr>
        <w:pStyle w:val="Naslov1"/>
        <w:numPr>
          <w:ilvl w:val="0"/>
          <w:numId w:val="12"/>
        </w:numPr>
      </w:pPr>
      <w:bookmarkStart w:id="0" w:name="_Toc180049333"/>
      <w:r>
        <w:t xml:space="preserve">SEDANJE </w:t>
      </w:r>
      <w:r w:rsidRPr="00AA06A1">
        <w:t>STANJE</w:t>
      </w:r>
      <w:bookmarkEnd w:id="0"/>
    </w:p>
    <w:p w14:paraId="19900A13" w14:textId="77777777" w:rsidR="00C25C89" w:rsidRPr="003F4B22" w:rsidRDefault="00C25C89" w:rsidP="00005464">
      <w:pPr>
        <w:pStyle w:val="Naslov2"/>
        <w:ind w:left="1080"/>
        <w:rPr>
          <w:sz w:val="22"/>
          <w:szCs w:val="22"/>
        </w:rPr>
      </w:pPr>
      <w:bookmarkStart w:id="1" w:name="_Hlk158107154"/>
    </w:p>
    <w:p w14:paraId="6E908674" w14:textId="596A6169" w:rsidR="009643AC" w:rsidRDefault="009643AC" w:rsidP="009643AC">
      <w:pPr>
        <w:pStyle w:val="Naslov2"/>
        <w:numPr>
          <w:ilvl w:val="1"/>
          <w:numId w:val="1"/>
        </w:numPr>
      </w:pPr>
      <w:bookmarkStart w:id="2" w:name="_Toc180049334"/>
      <w:r>
        <w:t>Uvodno pojasnilo</w:t>
      </w:r>
      <w:bookmarkEnd w:id="2"/>
    </w:p>
    <w:p w14:paraId="6EC8FE19" w14:textId="77777777" w:rsidR="00B57C91" w:rsidRPr="003F4B22" w:rsidRDefault="00B57C91" w:rsidP="00B57C91"/>
    <w:p w14:paraId="1449E59D" w14:textId="217285DB" w:rsidR="00B57C91" w:rsidRDefault="000C4DC0" w:rsidP="00B57C91">
      <w:pPr>
        <w:jc w:val="both"/>
      </w:pPr>
      <w:r>
        <w:t>Smučišča</w:t>
      </w:r>
      <w:r w:rsidR="00B57C91">
        <w:t xml:space="preserve"> spadajo pod finančno izredno potratno športno infrastrukturo, ki brez subvencioniranja lokalnih skupnosti ali donacij gospodarskih subjektov </w:t>
      </w:r>
      <w:r w:rsidR="005F0BA9">
        <w:t>»</w:t>
      </w:r>
      <w:r w:rsidR="00B57C91">
        <w:t>životarijo</w:t>
      </w:r>
      <w:r w:rsidR="005F0BA9">
        <w:t>«</w:t>
      </w:r>
      <w:r w:rsidR="00B57C91">
        <w:t xml:space="preserve"> in le s težka preživijo.</w:t>
      </w:r>
    </w:p>
    <w:p w14:paraId="34F98FCF" w14:textId="71FA69EF" w:rsidR="0087490C" w:rsidRDefault="00B57C91" w:rsidP="00B57C91">
      <w:pPr>
        <w:jc w:val="both"/>
      </w:pPr>
      <w:r>
        <w:t>Večina upravljavcev srednje velikih slovenskih smučišč se srečuje s problemom stalnih izgub.</w:t>
      </w:r>
    </w:p>
    <w:p w14:paraId="6A83A084" w14:textId="65DBC871" w:rsidR="00762814" w:rsidRDefault="00762814" w:rsidP="00B57C91">
      <w:pPr>
        <w:jc w:val="both"/>
      </w:pPr>
      <w:r>
        <w:t>Tudi v</w:t>
      </w:r>
      <w:r w:rsidRPr="00762814">
        <w:t xml:space="preserve"> tujini se smučišča soočajo s podobnimi izzivi, kot so visoki stroški vzdrževanja in obratovanja. Na primer, v Avstriji in Švici smučišča uspešno uporabljajo javno-zasebna partnerstva za financiranje in vzdrževanje smučišč. Poleg tega se v tujini pogosto uporabljajo različne oblike subvencij in donacij za zagotavljanje dolgoročne stabilnosti.</w:t>
      </w:r>
    </w:p>
    <w:p w14:paraId="0EC472D3" w14:textId="572FD9D3" w:rsidR="0087490C" w:rsidRPr="00141203" w:rsidRDefault="0087490C" w:rsidP="00B57C91">
      <w:pPr>
        <w:jc w:val="both"/>
      </w:pPr>
      <w:r w:rsidRPr="00141203">
        <w:t xml:space="preserve">Družba Gače d.o.o. želi z upravljanjem </w:t>
      </w:r>
      <w:r w:rsidR="00E4679C">
        <w:t xml:space="preserve">RTC Gače </w:t>
      </w:r>
      <w:r w:rsidRPr="00141203">
        <w:t xml:space="preserve">še naprej zadovoljevati javni interes na področju </w:t>
      </w:r>
      <w:r w:rsidR="00E4679C">
        <w:t xml:space="preserve">razvoja turizma, </w:t>
      </w:r>
      <w:r w:rsidRPr="00141203">
        <w:t>športa in rekreacije</w:t>
      </w:r>
      <w:r w:rsidR="00E4679C">
        <w:t xml:space="preserve"> ter </w:t>
      </w:r>
      <w:r w:rsidRPr="00141203">
        <w:t>vzgoje mladih, vendar pa mora pri tem upoštevati tudi izredno visoke stroške vzdrževanja,</w:t>
      </w:r>
      <w:r w:rsidR="002B6708">
        <w:t xml:space="preserve"> zasneževanja in obratovanja,</w:t>
      </w:r>
      <w:r w:rsidRPr="00141203">
        <w:t xml:space="preserve"> ki so v zadnjih letih z energetsko krizo in visoko inflacijo še narasli in jih podjetje s tržno generiranimi prihodki tudi zaradi vse slabših oz. krajših smučarskih sezon brez subvencij lokalnih skupnosti ne more pokrivati.</w:t>
      </w:r>
      <w:r>
        <w:t xml:space="preserve"> </w:t>
      </w:r>
      <w:r w:rsidR="00933ED2">
        <w:t xml:space="preserve">Za </w:t>
      </w:r>
      <w:r w:rsidR="00B57C91">
        <w:t xml:space="preserve">nadaljnje dolgoročno in stabilno delovanje smučišča </w:t>
      </w:r>
      <w:r w:rsidR="000C4DC0">
        <w:t>je treba</w:t>
      </w:r>
      <w:r w:rsidR="00B57C91">
        <w:t xml:space="preserve"> </w:t>
      </w:r>
      <w:r w:rsidR="003F4B22">
        <w:t>zagotoviti</w:t>
      </w:r>
      <w:r w:rsidR="00B57C91">
        <w:t xml:space="preserve"> manjkajoča sredstva</w:t>
      </w:r>
      <w:r w:rsidR="000C4DC0">
        <w:t xml:space="preserve"> oziroma je družba Gače d.o.o. primorana manjkajoča sredstva iskati tudi izven ustaljenih tržno naravnanih aktivnosti.</w:t>
      </w:r>
    </w:p>
    <w:p w14:paraId="7E9546CD" w14:textId="1F02E807" w:rsidR="00933ED2" w:rsidRDefault="00933ED2" w:rsidP="00B57C91">
      <w:pPr>
        <w:jc w:val="both"/>
      </w:pPr>
      <w:r>
        <w:t>V skladu z zadnjo spremembo Zakona o žičniških napravah za prevoz oseb (Uradni list RS, št. 126/03, 56/13, 33/14 in 200/20), je z 19a. členom občinam dana možnost, da sofinancira</w:t>
      </w:r>
      <w:r w:rsidR="00B57C91">
        <w:t>jo</w:t>
      </w:r>
      <w:r>
        <w:t xml:space="preserve"> obratovanje, vzdrževanje in gradnjo žičniških naprav z namenom uresničevanja javnega interesa na področju razvoja turizma in rekreativnih dejavnosti za gospodarski in splošni družbeni razvoj manj razvitih in demografsko ogroženih območij in zaradi smotrne in okolju prijazne rabe prostora. </w:t>
      </w:r>
    </w:p>
    <w:p w14:paraId="01CDFBA4" w14:textId="77777777" w:rsidR="0087490C" w:rsidRPr="0087490C" w:rsidRDefault="0087490C" w:rsidP="0087490C"/>
    <w:p w14:paraId="0A7F127D" w14:textId="319833C8" w:rsidR="00C25C89" w:rsidRDefault="00C25C89" w:rsidP="00005464">
      <w:pPr>
        <w:pStyle w:val="Naslov2"/>
        <w:numPr>
          <w:ilvl w:val="1"/>
          <w:numId w:val="1"/>
        </w:numPr>
      </w:pPr>
      <w:bookmarkStart w:id="3" w:name="_Toc180049335"/>
      <w:r>
        <w:t>Kratka predstavitev RTC Gače</w:t>
      </w:r>
      <w:bookmarkEnd w:id="3"/>
    </w:p>
    <w:p w14:paraId="7E069542" w14:textId="77777777" w:rsidR="005F66A1" w:rsidRDefault="005F66A1" w:rsidP="00005464">
      <w:pPr>
        <w:rPr>
          <w:b/>
          <w:bCs/>
        </w:rPr>
      </w:pPr>
    </w:p>
    <w:p w14:paraId="16D65B87" w14:textId="4FCCC74C" w:rsidR="001B76BD" w:rsidRPr="001B76BD" w:rsidRDefault="001B76BD" w:rsidP="00005464">
      <w:pPr>
        <w:rPr>
          <w:b/>
          <w:bCs/>
        </w:rPr>
      </w:pPr>
      <w:r w:rsidRPr="001B76BD">
        <w:rPr>
          <w:b/>
          <w:bCs/>
        </w:rPr>
        <w:t>Poletna ponudba</w:t>
      </w:r>
    </w:p>
    <w:bookmarkEnd w:id="1"/>
    <w:p w14:paraId="74BD7ABE" w14:textId="0573D4E8" w:rsidR="00C25C89" w:rsidRPr="00327B41" w:rsidRDefault="00327B41" w:rsidP="00005464">
      <w:r w:rsidRPr="00327B41">
        <w:t>Ponudba v poletnem času:</w:t>
      </w:r>
    </w:p>
    <w:p w14:paraId="0C63620E" w14:textId="01B54F78" w:rsidR="00327B41" w:rsidRPr="00327B41" w:rsidRDefault="00327B41" w:rsidP="00327B41">
      <w:pPr>
        <w:pStyle w:val="Odstavekseznama"/>
        <w:numPr>
          <w:ilvl w:val="0"/>
          <w:numId w:val="20"/>
        </w:numPr>
      </w:pPr>
      <w:r w:rsidRPr="00327B41">
        <w:t>samostojna ali vodena tura z e-kolesi,</w:t>
      </w:r>
    </w:p>
    <w:p w14:paraId="5BB5710D" w14:textId="23B66944" w:rsidR="00327B41" w:rsidRDefault="00327B41" w:rsidP="00327B41">
      <w:pPr>
        <w:pStyle w:val="Odstavekseznama"/>
        <w:numPr>
          <w:ilvl w:val="0"/>
          <w:numId w:val="20"/>
        </w:numPr>
      </w:pPr>
      <w:r w:rsidRPr="00327B41">
        <w:t>lokalna gastronomska ponudba,</w:t>
      </w:r>
    </w:p>
    <w:p w14:paraId="1BC24416" w14:textId="084862F0" w:rsidR="001343E4" w:rsidRDefault="001343E4" w:rsidP="00327B41">
      <w:pPr>
        <w:pStyle w:val="Odstavekseznama"/>
        <w:numPr>
          <w:ilvl w:val="0"/>
          <w:numId w:val="20"/>
        </w:numPr>
      </w:pPr>
      <w:r>
        <w:t xml:space="preserve">organizacija team </w:t>
      </w:r>
      <w:proofErr w:type="spellStart"/>
      <w:r>
        <w:t>buildingov</w:t>
      </w:r>
      <w:proofErr w:type="spellEnd"/>
      <w:r>
        <w:t>,</w:t>
      </w:r>
    </w:p>
    <w:p w14:paraId="5093CF9F" w14:textId="20160848" w:rsidR="001343E4" w:rsidRPr="00327B41" w:rsidRDefault="001343E4" w:rsidP="00327B41">
      <w:pPr>
        <w:pStyle w:val="Odstavekseznama"/>
        <w:numPr>
          <w:ilvl w:val="0"/>
          <w:numId w:val="20"/>
        </w:numPr>
      </w:pPr>
      <w:r>
        <w:t>organizacija porok,</w:t>
      </w:r>
    </w:p>
    <w:p w14:paraId="5ABEE1E1" w14:textId="27F111CD" w:rsidR="00327B41" w:rsidRPr="00327B41" w:rsidRDefault="00327B41" w:rsidP="00327B41">
      <w:pPr>
        <w:pStyle w:val="Odstavekseznama"/>
        <w:numPr>
          <w:ilvl w:val="0"/>
          <w:numId w:val="20"/>
        </w:numPr>
      </w:pPr>
      <w:r w:rsidRPr="00327B41">
        <w:t>razgibane pohodniške poti,</w:t>
      </w:r>
    </w:p>
    <w:p w14:paraId="66BB060F" w14:textId="77777777" w:rsidR="002C7C61" w:rsidRDefault="00327B41" w:rsidP="00327B41">
      <w:pPr>
        <w:pStyle w:val="Odstavekseznama"/>
        <w:numPr>
          <w:ilvl w:val="0"/>
          <w:numId w:val="20"/>
        </w:numPr>
      </w:pPr>
      <w:r w:rsidRPr="00327B41">
        <w:t>pustolovski park</w:t>
      </w:r>
      <w:r w:rsidR="002C7C61">
        <w:t>,</w:t>
      </w:r>
    </w:p>
    <w:p w14:paraId="5C7F9A79" w14:textId="331399F7" w:rsidR="001343E4" w:rsidRDefault="001343E4" w:rsidP="001343E4">
      <w:pPr>
        <w:pStyle w:val="Odstavekseznama"/>
        <w:numPr>
          <w:ilvl w:val="0"/>
          <w:numId w:val="20"/>
        </w:numPr>
      </w:pPr>
      <w:r w:rsidRPr="001343E4">
        <w:t>obisk neokrnjene narave Kočevskega roga,</w:t>
      </w:r>
    </w:p>
    <w:p w14:paraId="0726EB9B" w14:textId="4E84CBF7" w:rsidR="00D739C1" w:rsidRDefault="00D739C1" w:rsidP="00327B41">
      <w:pPr>
        <w:pStyle w:val="Odstavekseznama"/>
        <w:numPr>
          <w:ilvl w:val="0"/>
          <w:numId w:val="20"/>
        </w:numPr>
      </w:pPr>
      <w:r>
        <w:t>obisk bogate kulturne dediščine Kočevskega roga,</w:t>
      </w:r>
    </w:p>
    <w:p w14:paraId="45AC0F01" w14:textId="492FA883" w:rsidR="001343E4" w:rsidRDefault="001343E4" w:rsidP="00327B41">
      <w:pPr>
        <w:pStyle w:val="Odstavekseznama"/>
        <w:numPr>
          <w:ilvl w:val="0"/>
          <w:numId w:val="20"/>
        </w:numPr>
      </w:pPr>
      <w:r>
        <w:t>otroško igrišče z zanimivimi igrali,</w:t>
      </w:r>
    </w:p>
    <w:p w14:paraId="15A00935" w14:textId="77777777" w:rsidR="002C7C61" w:rsidRDefault="002C7C61" w:rsidP="002C7C61">
      <w:pPr>
        <w:pStyle w:val="Odstavekseznama"/>
        <w:numPr>
          <w:ilvl w:val="0"/>
          <w:numId w:val="20"/>
        </w:numPr>
      </w:pPr>
      <w:r>
        <w:t>tradicionalni koncert Rock Gače,</w:t>
      </w:r>
    </w:p>
    <w:p w14:paraId="0036BFC1" w14:textId="5DB6554A" w:rsidR="00327B41" w:rsidRPr="00327B41" w:rsidRDefault="002C7C61" w:rsidP="002C7C61">
      <w:pPr>
        <w:pStyle w:val="Odstavekseznama"/>
        <w:numPr>
          <w:ilvl w:val="0"/>
          <w:numId w:val="20"/>
        </w:numPr>
      </w:pPr>
      <w:r>
        <w:t>..</w:t>
      </w:r>
      <w:r w:rsidR="00327B41" w:rsidRPr="00327B41">
        <w:t>.</w:t>
      </w:r>
    </w:p>
    <w:p w14:paraId="7AE839AD" w14:textId="77777777" w:rsidR="001B76BD" w:rsidRDefault="001B76BD" w:rsidP="00005464"/>
    <w:p w14:paraId="792881D2" w14:textId="6EAF7ED4" w:rsidR="001B76BD" w:rsidRPr="001B76BD" w:rsidRDefault="001B76BD" w:rsidP="00005464">
      <w:pPr>
        <w:rPr>
          <w:b/>
          <w:bCs/>
        </w:rPr>
      </w:pPr>
      <w:r>
        <w:rPr>
          <w:b/>
          <w:bCs/>
        </w:rPr>
        <w:t>Zimska ponudba</w:t>
      </w:r>
    </w:p>
    <w:p w14:paraId="73AFBD3C" w14:textId="2EF1393A" w:rsidR="00005464" w:rsidRDefault="00DB04F8" w:rsidP="00005464">
      <w:pPr>
        <w:jc w:val="both"/>
      </w:pPr>
      <w:r>
        <w:t>Smučišče</w:t>
      </w:r>
      <w:r w:rsidR="00005464">
        <w:t xml:space="preserve"> Gače je edino večje slovensko smučišče jugovzhodno od Ljubljane. Leži med Dolenjskimi Toplicami in Semičem in je najbližje večje smučišče za Dolenjce, Belokranjce, Posavce in prebivalce kočevskega konca, prav tako pa tudi za del prebivalcev Hrvaške (bližina Zagreba, Karlovca).</w:t>
      </w:r>
    </w:p>
    <w:p w14:paraId="319A5156" w14:textId="7511DA3B" w:rsidR="00C25C89" w:rsidRDefault="00005464" w:rsidP="00005464">
      <w:pPr>
        <w:jc w:val="both"/>
      </w:pPr>
      <w:r>
        <w:t>Smučanje ima v tem koncu Kočevskega Roga (Črmošnjice, Gače) dolgo tradicijo, saj se je tu smučalo že v tridesetih letih prejšnjega stoletja. Zgodovina sedanjega smučišča SC Bela sega v začetek osemdesetih let prejšnjega stoletja.</w:t>
      </w:r>
    </w:p>
    <w:p w14:paraId="78A5F034" w14:textId="1DF74AD8" w:rsidR="00005464" w:rsidRDefault="00005464" w:rsidP="00005464">
      <w:pPr>
        <w:jc w:val="both"/>
      </w:pPr>
      <w:r>
        <w:t>Smučišče leži na vzhodnem robu Kočevskega Roga na višini 965 metrov in je hkrati priljubljena razgledna (razgled na Dolenjsko, Belo krajino, Alpe, Snežnik, Nanos) ter izletniška točka Dolenjcev, Belokranjcev, Posavcev.</w:t>
      </w:r>
    </w:p>
    <w:p w14:paraId="55140FA3" w14:textId="4938AAA5" w:rsidR="00005464" w:rsidRDefault="00005464" w:rsidP="00005464">
      <w:pPr>
        <w:jc w:val="both"/>
      </w:pPr>
      <w:r>
        <w:t>Tehnične karakteristike smučišča so:</w:t>
      </w:r>
    </w:p>
    <w:p w14:paraId="7DA8BA46" w14:textId="77777777" w:rsidR="00005464" w:rsidRDefault="00005464" w:rsidP="00005464">
      <w:pPr>
        <w:pStyle w:val="Odstavekseznama"/>
        <w:numPr>
          <w:ilvl w:val="0"/>
          <w:numId w:val="19"/>
        </w:numPr>
        <w:spacing w:after="0"/>
        <w:jc w:val="both"/>
      </w:pPr>
      <w:r>
        <w:t>nadmorska višina: 700–965 m,</w:t>
      </w:r>
    </w:p>
    <w:p w14:paraId="4CFF1C5F" w14:textId="77777777" w:rsidR="00005464" w:rsidRDefault="00005464" w:rsidP="00005464">
      <w:pPr>
        <w:pStyle w:val="Odstavekseznama"/>
        <w:numPr>
          <w:ilvl w:val="0"/>
          <w:numId w:val="19"/>
        </w:numPr>
        <w:spacing w:after="0"/>
        <w:jc w:val="both"/>
      </w:pPr>
      <w:r>
        <w:t>površina smučišča: 55 ha,</w:t>
      </w:r>
    </w:p>
    <w:p w14:paraId="71F0359C" w14:textId="77777777" w:rsidR="00005464" w:rsidRPr="00B05AEF" w:rsidRDefault="00005464" w:rsidP="00005464">
      <w:pPr>
        <w:pStyle w:val="Odstavekseznama"/>
        <w:numPr>
          <w:ilvl w:val="0"/>
          <w:numId w:val="19"/>
        </w:numPr>
        <w:spacing w:after="0"/>
        <w:jc w:val="both"/>
      </w:pPr>
      <w:r>
        <w:t>smučarske proge: težka (</w:t>
      </w:r>
      <w:r w:rsidRPr="00B05AEF">
        <w:t>1 km</w:t>
      </w:r>
      <w:r>
        <w:t>)</w:t>
      </w:r>
      <w:r w:rsidRPr="00B05AEF">
        <w:t xml:space="preserve">, </w:t>
      </w:r>
      <w:r>
        <w:t>srednje težka</w:t>
      </w:r>
      <w:r w:rsidRPr="00B05AEF">
        <w:t xml:space="preserve"> </w:t>
      </w:r>
      <w:r>
        <w:t>(</w:t>
      </w:r>
      <w:r w:rsidRPr="00B05AEF">
        <w:t>3 km</w:t>
      </w:r>
      <w:r>
        <w:t>)</w:t>
      </w:r>
      <w:r w:rsidRPr="00B05AEF">
        <w:t>, lahka</w:t>
      </w:r>
      <w:r>
        <w:t xml:space="preserve"> (</w:t>
      </w:r>
      <w:r w:rsidRPr="00B05AEF">
        <w:t>3 km</w:t>
      </w:r>
      <w:r>
        <w:t>)</w:t>
      </w:r>
      <w:r w:rsidRPr="00B05AEF">
        <w:t xml:space="preserve">, </w:t>
      </w:r>
      <w:r>
        <w:t>zelo lahka</w:t>
      </w:r>
      <w:r w:rsidRPr="00B05AEF">
        <w:t xml:space="preserve"> </w:t>
      </w:r>
      <w:r>
        <w:t>(</w:t>
      </w:r>
      <w:r w:rsidRPr="00B05AEF">
        <w:t>1 km</w:t>
      </w:r>
      <w:r>
        <w:t>)</w:t>
      </w:r>
      <w:r w:rsidRPr="00B05AEF">
        <w:t>,</w:t>
      </w:r>
    </w:p>
    <w:p w14:paraId="27459E5B" w14:textId="77777777" w:rsidR="00005464" w:rsidRPr="00B05AEF" w:rsidRDefault="00005464" w:rsidP="00005464">
      <w:pPr>
        <w:pStyle w:val="Odstavekseznama"/>
        <w:numPr>
          <w:ilvl w:val="0"/>
          <w:numId w:val="19"/>
        </w:numPr>
        <w:spacing w:after="0"/>
        <w:jc w:val="both"/>
      </w:pPr>
      <w:r w:rsidRPr="00B05AEF">
        <w:t xml:space="preserve">tekaške proge: </w:t>
      </w:r>
      <w:r>
        <w:t>tekaška 1 (</w:t>
      </w:r>
      <w:r w:rsidRPr="00B05AEF">
        <w:t>2 km</w:t>
      </w:r>
      <w:r>
        <w:t>)</w:t>
      </w:r>
      <w:r w:rsidRPr="00B05AEF">
        <w:t xml:space="preserve">, </w:t>
      </w:r>
      <w:r>
        <w:t>tekaška 2 (</w:t>
      </w:r>
      <w:r w:rsidRPr="00B05AEF">
        <w:t>4,5 km</w:t>
      </w:r>
      <w:r>
        <w:t>)</w:t>
      </w:r>
      <w:r w:rsidRPr="00B05AEF">
        <w:t>,</w:t>
      </w:r>
    </w:p>
    <w:p w14:paraId="34D8C620" w14:textId="77777777" w:rsidR="00005464" w:rsidRPr="00B05AEF" w:rsidRDefault="00005464" w:rsidP="00005464">
      <w:pPr>
        <w:pStyle w:val="Odstavekseznama"/>
        <w:numPr>
          <w:ilvl w:val="0"/>
          <w:numId w:val="19"/>
        </w:numPr>
        <w:spacing w:after="0"/>
        <w:jc w:val="both"/>
      </w:pPr>
      <w:r w:rsidRPr="00B05AEF">
        <w:t xml:space="preserve">smučarske naprave: </w:t>
      </w:r>
      <w:proofErr w:type="spellStart"/>
      <w:r w:rsidRPr="00B05AEF">
        <w:t>trisedežnica</w:t>
      </w:r>
      <w:proofErr w:type="spellEnd"/>
      <w:r w:rsidRPr="00B05AEF">
        <w:t xml:space="preserve">, </w:t>
      </w:r>
      <w:r>
        <w:t>5 vlečnic (4</w:t>
      </w:r>
      <w:r w:rsidRPr="00B05AEF">
        <w:t xml:space="preserve"> </w:t>
      </w:r>
      <w:proofErr w:type="spellStart"/>
      <w:r w:rsidRPr="00B05AEF">
        <w:t>sidr</w:t>
      </w:r>
      <w:r>
        <w:t>e</w:t>
      </w:r>
      <w:proofErr w:type="spellEnd"/>
      <w:r w:rsidRPr="00B05AEF">
        <w:t>, 1 krožci),</w:t>
      </w:r>
    </w:p>
    <w:p w14:paraId="7B3594E2" w14:textId="77777777" w:rsidR="00005464" w:rsidRDefault="00005464" w:rsidP="00005464">
      <w:pPr>
        <w:pStyle w:val="Odstavekseznama"/>
        <w:numPr>
          <w:ilvl w:val="0"/>
          <w:numId w:val="19"/>
        </w:numPr>
        <w:spacing w:after="0"/>
        <w:jc w:val="both"/>
      </w:pPr>
      <w:r>
        <w:t>zmogljivost naprav: 5.400 smučarjev na uro.</w:t>
      </w:r>
    </w:p>
    <w:p w14:paraId="392F6224" w14:textId="1821E3C8" w:rsidR="00D90C38" w:rsidRDefault="00D90C38"/>
    <w:p w14:paraId="5046E85D" w14:textId="7A62BE67" w:rsidR="00005464" w:rsidRDefault="00005464" w:rsidP="00005464">
      <w:pPr>
        <w:jc w:val="both"/>
      </w:pPr>
      <w:r>
        <w:t>Dodatna ponudba v zimskem času:</w:t>
      </w:r>
    </w:p>
    <w:p w14:paraId="15C4F934" w14:textId="2CF0C93A" w:rsidR="00005464" w:rsidRDefault="00005464" w:rsidP="00005464">
      <w:pPr>
        <w:pStyle w:val="Odstavekseznama"/>
        <w:numPr>
          <w:ilvl w:val="0"/>
          <w:numId w:val="17"/>
        </w:numPr>
        <w:jc w:val="both"/>
      </w:pPr>
      <w:r>
        <w:t>smučarski tečaji (SD Gače, SD Krka Rog),</w:t>
      </w:r>
    </w:p>
    <w:p w14:paraId="543A8C32" w14:textId="7AE561BB" w:rsidR="001B76BD" w:rsidRDefault="001B76BD" w:rsidP="00005464">
      <w:pPr>
        <w:pStyle w:val="Odstavekseznama"/>
        <w:numPr>
          <w:ilvl w:val="0"/>
          <w:numId w:val="17"/>
        </w:numPr>
        <w:jc w:val="both"/>
      </w:pPr>
      <w:r>
        <w:t>gostinska ponudba – redna in kulinarični tematski vikendi,</w:t>
      </w:r>
    </w:p>
    <w:p w14:paraId="27EC1B16" w14:textId="0B72C99D" w:rsidR="00005464" w:rsidRDefault="00005464" w:rsidP="00005464">
      <w:pPr>
        <w:pStyle w:val="Odstavekseznama"/>
        <w:numPr>
          <w:ilvl w:val="0"/>
          <w:numId w:val="17"/>
        </w:numPr>
        <w:jc w:val="both"/>
      </w:pPr>
      <w:r>
        <w:t>vadbeni poligon,</w:t>
      </w:r>
    </w:p>
    <w:p w14:paraId="0CF1192B" w14:textId="0F83542F" w:rsidR="00005464" w:rsidRDefault="00005464" w:rsidP="00005464">
      <w:pPr>
        <w:pStyle w:val="Odstavekseznama"/>
        <w:numPr>
          <w:ilvl w:val="0"/>
          <w:numId w:val="17"/>
        </w:numPr>
        <w:jc w:val="both"/>
      </w:pPr>
      <w:r>
        <w:t>izposoja smučarske opreme,</w:t>
      </w:r>
    </w:p>
    <w:p w14:paraId="2D0D9F22" w14:textId="78A272F9" w:rsidR="00005464" w:rsidRDefault="00005464" w:rsidP="00005464">
      <w:pPr>
        <w:pStyle w:val="Odstavekseznama"/>
        <w:numPr>
          <w:ilvl w:val="0"/>
          <w:numId w:val="17"/>
        </w:numPr>
        <w:jc w:val="both"/>
      </w:pPr>
      <w:r>
        <w:t>servis smučarske opreme,</w:t>
      </w:r>
    </w:p>
    <w:p w14:paraId="25ED7F18" w14:textId="177AB839" w:rsidR="00005464" w:rsidRDefault="00005464" w:rsidP="00005464">
      <w:pPr>
        <w:pStyle w:val="Odstavekseznama"/>
        <w:numPr>
          <w:ilvl w:val="0"/>
          <w:numId w:val="17"/>
        </w:numPr>
        <w:jc w:val="both"/>
      </w:pPr>
      <w:r>
        <w:t>tekaške proge,</w:t>
      </w:r>
    </w:p>
    <w:p w14:paraId="6D7EF4B9" w14:textId="35259246" w:rsidR="00005464" w:rsidRDefault="00005464" w:rsidP="00005464">
      <w:pPr>
        <w:pStyle w:val="Odstavekseznama"/>
        <w:numPr>
          <w:ilvl w:val="0"/>
          <w:numId w:val="17"/>
        </w:numPr>
        <w:jc w:val="both"/>
      </w:pPr>
      <w:r>
        <w:t>sankaški poligon,</w:t>
      </w:r>
    </w:p>
    <w:p w14:paraId="47371494" w14:textId="7F809C8F" w:rsidR="001B76BD" w:rsidRDefault="001B76BD" w:rsidP="00005464">
      <w:pPr>
        <w:pStyle w:val="Odstavekseznama"/>
        <w:numPr>
          <w:ilvl w:val="0"/>
          <w:numId w:val="17"/>
        </w:numPr>
        <w:jc w:val="both"/>
      </w:pPr>
      <w:r>
        <w:t>koncerti,</w:t>
      </w:r>
    </w:p>
    <w:p w14:paraId="08650105" w14:textId="08E5A917" w:rsidR="001B76BD" w:rsidRDefault="001B76BD" w:rsidP="00005464">
      <w:pPr>
        <w:pStyle w:val="Odstavekseznama"/>
        <w:numPr>
          <w:ilvl w:val="0"/>
          <w:numId w:val="17"/>
        </w:numPr>
        <w:jc w:val="both"/>
      </w:pPr>
      <w:r>
        <w:t>…</w:t>
      </w:r>
    </w:p>
    <w:p w14:paraId="23723D4A" w14:textId="77777777" w:rsidR="00005464" w:rsidRDefault="00005464" w:rsidP="00005464">
      <w:pPr>
        <w:jc w:val="both"/>
      </w:pPr>
    </w:p>
    <w:p w14:paraId="5CD44552" w14:textId="77777777" w:rsidR="00C25C89" w:rsidRDefault="00C25C89" w:rsidP="00005464">
      <w:pPr>
        <w:pStyle w:val="Naslov2"/>
        <w:ind w:left="1080"/>
      </w:pPr>
    </w:p>
    <w:p w14:paraId="1B85984B" w14:textId="77777777" w:rsidR="00542521" w:rsidRDefault="00542521">
      <w:pPr>
        <w:rPr>
          <w:rFonts w:ascii="Calibri" w:eastAsiaTheme="majorEastAsia" w:hAnsi="Calibri" w:cstheme="majorBidi"/>
          <w:b/>
          <w:sz w:val="26"/>
          <w:szCs w:val="26"/>
        </w:rPr>
      </w:pPr>
      <w:bookmarkStart w:id="4" w:name="_Hlk158107190"/>
      <w:r>
        <w:br w:type="page"/>
      </w:r>
    </w:p>
    <w:p w14:paraId="4F67659F" w14:textId="2D7C7AF3" w:rsidR="00C25C89" w:rsidRDefault="00C25C89" w:rsidP="00005464">
      <w:pPr>
        <w:pStyle w:val="Naslov2"/>
        <w:numPr>
          <w:ilvl w:val="1"/>
          <w:numId w:val="1"/>
        </w:numPr>
      </w:pPr>
      <w:bookmarkStart w:id="5" w:name="_Toc180049336"/>
      <w:r>
        <w:t>Predvidene investicije</w:t>
      </w:r>
      <w:bookmarkEnd w:id="5"/>
    </w:p>
    <w:p w14:paraId="4CB254DC" w14:textId="77777777" w:rsidR="00C25C89" w:rsidRDefault="00C25C89" w:rsidP="00005464">
      <w:pPr>
        <w:jc w:val="both"/>
      </w:pPr>
    </w:p>
    <w:p w14:paraId="339FA2B0" w14:textId="77777777" w:rsidR="00AB0D17" w:rsidRDefault="00AB0D17" w:rsidP="00005464">
      <w:pPr>
        <w:jc w:val="both"/>
      </w:pPr>
      <w:r>
        <w:t>Glede na povprečno slabe zime s snegom, ki vplivajo na obratovanje smučišča, smo v družbi Gače d.o.o. sprejeli odločitev za nadgradnjo in razvoj smučišča v celoletno destinacijo. Namesto da bi smučišče obratovalo le občasno, se želimo prilagoditi spremenjenim podnebnim razmeram in zagotoviti njegovo delovanje skozi vse leto smo si zastavili večletni načrt, ki vključuje naslednje aktivnosti in pridobitve:</w:t>
      </w:r>
    </w:p>
    <w:p w14:paraId="0E3112E1" w14:textId="77777777" w:rsidR="00AB0D17" w:rsidRDefault="00AB0D17" w:rsidP="00005464">
      <w:pPr>
        <w:jc w:val="both"/>
      </w:pPr>
    </w:p>
    <w:p w14:paraId="0BAE0C85" w14:textId="1A28F077" w:rsidR="00AB0D17" w:rsidRPr="00DF1B3F" w:rsidRDefault="00AB0D17" w:rsidP="00005464">
      <w:pPr>
        <w:pStyle w:val="Odstavekseznama"/>
        <w:numPr>
          <w:ilvl w:val="0"/>
          <w:numId w:val="5"/>
        </w:numPr>
        <w:pBdr>
          <w:top w:val="single" w:sz="12" w:space="1" w:color="auto"/>
          <w:left w:val="single" w:sz="12" w:space="0" w:color="auto"/>
          <w:bottom w:val="single" w:sz="12" w:space="1" w:color="auto"/>
          <w:right w:val="single" w:sz="12" w:space="4" w:color="auto"/>
        </w:pBdr>
        <w:shd w:val="clear" w:color="auto" w:fill="DEEAF6" w:themeFill="accent5" w:themeFillTint="33"/>
        <w:jc w:val="both"/>
      </w:pPr>
      <w:proofErr w:type="spellStart"/>
      <w:r w:rsidRPr="00DF1B3F">
        <w:t>Multifunkcijski</w:t>
      </w:r>
      <w:proofErr w:type="spellEnd"/>
      <w:r w:rsidRPr="00DF1B3F">
        <w:t xml:space="preserve"> stolp za otroke: </w:t>
      </w:r>
    </w:p>
    <w:p w14:paraId="2F23086F" w14:textId="26CDFC2C" w:rsidR="00AB0D17" w:rsidRDefault="00AB0D17" w:rsidP="00005464">
      <w:pPr>
        <w:jc w:val="both"/>
      </w:pPr>
      <w:r w:rsidRPr="00DF1B3F">
        <w:t xml:space="preserve">Načrtujemo postavitev </w:t>
      </w:r>
      <w:proofErr w:type="spellStart"/>
      <w:r w:rsidRPr="00DF1B3F">
        <w:t>multifunkcijskega</w:t>
      </w:r>
      <w:proofErr w:type="spellEnd"/>
      <w:r w:rsidRPr="00DF1B3F">
        <w:t xml:space="preserve"> stolpa, ki bo namenjen otrokom in bo vključeval plezalne elemente, mali </w:t>
      </w:r>
      <w:proofErr w:type="spellStart"/>
      <w:r w:rsidRPr="00DF1B3F">
        <w:t>zipline</w:t>
      </w:r>
      <w:proofErr w:type="spellEnd"/>
      <w:r w:rsidRPr="00DF1B3F">
        <w:t xml:space="preserve">, prosti pad ter druge zabavne aktivnosti. Ta stolp bo ustvarjal priložnosti za igro, raziskovanje in gibalno dejavnost otrok. Predvidena vrednost projekta je ocenjena na 150.000 </w:t>
      </w:r>
      <w:r w:rsidR="00005464">
        <w:t>EUR</w:t>
      </w:r>
      <w:r w:rsidRPr="00DF1B3F">
        <w:t xml:space="preserve"> do 180.000 </w:t>
      </w:r>
      <w:r w:rsidR="00005464">
        <w:t>EUR</w:t>
      </w:r>
      <w:r w:rsidRPr="00DF1B3F">
        <w:t>.</w:t>
      </w:r>
    </w:p>
    <w:p w14:paraId="45EEB05B" w14:textId="77777777" w:rsidR="00DF1B3F" w:rsidRPr="00DF1B3F" w:rsidRDefault="00DF1B3F" w:rsidP="00005464">
      <w:pPr>
        <w:jc w:val="both"/>
      </w:pPr>
    </w:p>
    <w:p w14:paraId="6E07540D" w14:textId="2C6D05CA" w:rsidR="00AB0D17" w:rsidRPr="00DF1B3F" w:rsidRDefault="00AB0D17" w:rsidP="00005464">
      <w:pPr>
        <w:pStyle w:val="Odstavekseznama"/>
        <w:numPr>
          <w:ilvl w:val="0"/>
          <w:numId w:val="5"/>
        </w:numPr>
        <w:pBdr>
          <w:top w:val="single" w:sz="12" w:space="1" w:color="auto"/>
          <w:left w:val="single" w:sz="12" w:space="4" w:color="auto"/>
          <w:bottom w:val="single" w:sz="12" w:space="1" w:color="auto"/>
          <w:right w:val="single" w:sz="12" w:space="4" w:color="auto"/>
        </w:pBdr>
        <w:shd w:val="clear" w:color="auto" w:fill="9CC2E5" w:themeFill="accent5" w:themeFillTint="99"/>
        <w:jc w:val="both"/>
      </w:pPr>
      <w:r w:rsidRPr="00DF1B3F">
        <w:t>Pravljično doživetje ČAROBNI GOZD GAČE:</w:t>
      </w:r>
    </w:p>
    <w:p w14:paraId="2A306CBD" w14:textId="40B7B998" w:rsidR="00AB0D17" w:rsidRDefault="00AB0D17" w:rsidP="00005464">
      <w:pPr>
        <w:jc w:val="both"/>
      </w:pPr>
      <w:r w:rsidRPr="00DF1B3F">
        <w:t xml:space="preserve">Bo družinsko doživetje v naravi, ki bo obiskovalce popeljalo po Gačah, ki nam ga bo zasnoval Zavod </w:t>
      </w:r>
      <w:proofErr w:type="spellStart"/>
      <w:r w:rsidRPr="00DF1B3F">
        <w:t>Škrateljc</w:t>
      </w:r>
      <w:proofErr w:type="spellEnd"/>
      <w:r w:rsidRPr="00DF1B3F">
        <w:t>, ki ima izkušnje s tovrstnimi projek</w:t>
      </w:r>
      <w:r w:rsidR="008C50D4">
        <w:t>t</w:t>
      </w:r>
      <w:r w:rsidRPr="00DF1B3F">
        <w:t xml:space="preserve">i. Vključeni bomo v mrežo doživljajskih poti v Sloveniji, izdana bo knjiga in slikanica in napravljena pot v dolžini 3km z 15 postajami, primerna bo pa za vse od najmlajših dalje. Ocenjena vrednost projekta bo okoli 200.000 </w:t>
      </w:r>
      <w:r w:rsidR="00005464">
        <w:t>EUR</w:t>
      </w:r>
      <w:r w:rsidRPr="00DF1B3F">
        <w:t>.</w:t>
      </w:r>
    </w:p>
    <w:p w14:paraId="52100AEB" w14:textId="77777777" w:rsidR="00DF1B3F" w:rsidRDefault="00DF1B3F" w:rsidP="00005464">
      <w:pPr>
        <w:jc w:val="both"/>
      </w:pPr>
    </w:p>
    <w:p w14:paraId="1EC8456F" w14:textId="54851966" w:rsidR="00AB0D17" w:rsidRPr="00DF1B3F" w:rsidRDefault="00AB0D17" w:rsidP="00005464">
      <w:pPr>
        <w:pStyle w:val="Odstavekseznama"/>
        <w:numPr>
          <w:ilvl w:val="0"/>
          <w:numId w:val="5"/>
        </w:numPr>
        <w:pBdr>
          <w:top w:val="single" w:sz="12" w:space="1" w:color="auto"/>
          <w:left w:val="single" w:sz="12" w:space="4" w:color="auto"/>
          <w:bottom w:val="single" w:sz="12" w:space="1" w:color="auto"/>
          <w:right w:val="single" w:sz="12" w:space="4" w:color="auto"/>
        </w:pBdr>
        <w:shd w:val="clear" w:color="auto" w:fill="DEEAF6" w:themeFill="accent5" w:themeFillTint="33"/>
        <w:jc w:val="both"/>
      </w:pPr>
      <w:proofErr w:type="spellStart"/>
      <w:r w:rsidRPr="00DF1B3F">
        <w:t>Glamping</w:t>
      </w:r>
      <w:proofErr w:type="spellEnd"/>
      <w:r w:rsidR="00005464">
        <w:t xml:space="preserve"> Gače</w:t>
      </w:r>
      <w:r w:rsidRPr="00DF1B3F">
        <w:t>:</w:t>
      </w:r>
    </w:p>
    <w:p w14:paraId="79EAC71B" w14:textId="58F23BF5" w:rsidR="00005464" w:rsidRDefault="00005464" w:rsidP="00005464">
      <w:pPr>
        <w:jc w:val="both"/>
      </w:pPr>
      <w:r>
        <w:t xml:space="preserve">V okviru javnega razpisa za sofinanciranje vlaganj v nastanitveno turistično ponudbo za dvig dodane vrednosti turizma (NOO nastanitvene kapacitete), smo pridobili sofinanciranje investicije </w:t>
      </w:r>
      <w:proofErr w:type="spellStart"/>
      <w:r>
        <w:t>Glamping</w:t>
      </w:r>
      <w:proofErr w:type="spellEnd"/>
      <w:r>
        <w:t xml:space="preserve"> Gače. Predmet investicije je izgradnja novega </w:t>
      </w:r>
      <w:proofErr w:type="spellStart"/>
      <w:r>
        <w:t>glamping</w:t>
      </w:r>
      <w:proofErr w:type="spellEnd"/>
      <w:r>
        <w:t xml:space="preserve"> naselja, ki bo zajemal 6 nastanitvenih enot (hišic) in recepcijo s servisnim prostorom. Namen investicije »</w:t>
      </w:r>
      <w:proofErr w:type="spellStart"/>
      <w:r>
        <w:t>Glamping</w:t>
      </w:r>
      <w:proofErr w:type="spellEnd"/>
      <w:r>
        <w:t xml:space="preserve"> Gače« je razširitev in dvig kakovosti ponudbe obstoječega RTC Gače, ki ponuja športne in prostočasne aktivnosti, ne razpolaga pa z nastanitvenimi kapacitetami. Z investicijo se RTC Gače lahko preoblikuje v celoletno kakovostno in trajnostno turistično destinacijo. Cilj investicije je postavitev trajnostnega </w:t>
      </w:r>
      <w:proofErr w:type="spellStart"/>
      <w:r>
        <w:t>glamping</w:t>
      </w:r>
      <w:proofErr w:type="spellEnd"/>
      <w:r>
        <w:t xml:space="preserve"> naselja s 4*, ki s celoletno ponudbo kakovostnih programov ponuja vrhunsko </w:t>
      </w:r>
      <w:proofErr w:type="spellStart"/>
      <w:r>
        <w:t>glamping</w:t>
      </w:r>
      <w:proofErr w:type="spellEnd"/>
      <w:r>
        <w:t xml:space="preserve"> izkušnjo za zahtevne goste, ki iščejo sproščujoč ali aktiven oddih sredi neokrnjenih gozdov Kočevskega Roga. Investicija bo trajala od 1. 3. 2023 do 31. 1. 2026.</w:t>
      </w:r>
    </w:p>
    <w:p w14:paraId="3EE5591C" w14:textId="77777777" w:rsidR="00005464" w:rsidRDefault="00005464" w:rsidP="00005464">
      <w:pPr>
        <w:jc w:val="both"/>
      </w:pPr>
      <w:r>
        <w:t>Kazalniki investicije:</w:t>
      </w:r>
    </w:p>
    <w:p w14:paraId="7F985C36" w14:textId="77777777" w:rsidR="00005464" w:rsidRDefault="00005464" w:rsidP="00005464">
      <w:pPr>
        <w:pStyle w:val="Odstavekseznama"/>
        <w:numPr>
          <w:ilvl w:val="0"/>
          <w:numId w:val="14"/>
        </w:numPr>
        <w:jc w:val="both"/>
      </w:pPr>
      <w:r>
        <w:t>6 nastanitvenih enot s 24 ležišči in 1 recepcija</w:t>
      </w:r>
    </w:p>
    <w:p w14:paraId="13168A0B" w14:textId="77777777" w:rsidR="00005464" w:rsidRDefault="00005464" w:rsidP="00005464">
      <w:pPr>
        <w:pStyle w:val="Odstavekseznama"/>
        <w:numPr>
          <w:ilvl w:val="0"/>
          <w:numId w:val="14"/>
        </w:numPr>
        <w:jc w:val="both"/>
      </w:pPr>
      <w:r>
        <w:t>razvoj treh trajnostno naravnanih turističnih produktov</w:t>
      </w:r>
    </w:p>
    <w:p w14:paraId="62BA7660" w14:textId="77777777" w:rsidR="00005464" w:rsidRDefault="00005464" w:rsidP="00005464">
      <w:pPr>
        <w:pStyle w:val="Odstavekseznama"/>
        <w:numPr>
          <w:ilvl w:val="0"/>
          <w:numId w:val="14"/>
        </w:numPr>
        <w:jc w:val="both"/>
      </w:pPr>
      <w:r>
        <w:t>3 nove zaposlitve</w:t>
      </w:r>
    </w:p>
    <w:p w14:paraId="265C2B6D" w14:textId="77777777" w:rsidR="00005464" w:rsidRDefault="00005464" w:rsidP="00005464">
      <w:pPr>
        <w:pStyle w:val="Odstavekseznama"/>
        <w:numPr>
          <w:ilvl w:val="0"/>
          <w:numId w:val="14"/>
        </w:numPr>
        <w:jc w:val="both"/>
      </w:pPr>
      <w:r>
        <w:t xml:space="preserve">pridobitev certifikata Zeleni ključ za nastanitvene kapacitete in nadgradnja le-tega s pridobitvijo znaka </w:t>
      </w:r>
      <w:proofErr w:type="spellStart"/>
      <w:r>
        <w:t>Slovenia</w:t>
      </w:r>
      <w:proofErr w:type="spellEnd"/>
      <w:r>
        <w:t xml:space="preserve"> </w:t>
      </w:r>
      <w:proofErr w:type="spellStart"/>
      <w:r>
        <w:t>Green</w:t>
      </w:r>
      <w:proofErr w:type="spellEnd"/>
      <w:r>
        <w:t xml:space="preserve"> v okviru Zelene sheme slovenskega turizma</w:t>
      </w:r>
    </w:p>
    <w:p w14:paraId="38FAB350" w14:textId="77777777" w:rsidR="00005464" w:rsidRDefault="00005464" w:rsidP="00005464">
      <w:pPr>
        <w:pStyle w:val="Odstavekseznama"/>
        <w:numPr>
          <w:ilvl w:val="0"/>
          <w:numId w:val="14"/>
        </w:numPr>
        <w:jc w:val="both"/>
      </w:pPr>
      <w:r>
        <w:t>pridobitev kategorizacije 4* (</w:t>
      </w:r>
      <w:proofErr w:type="spellStart"/>
      <w:r>
        <w:t>World</w:t>
      </w:r>
      <w:proofErr w:type="spellEnd"/>
      <w:r>
        <w:t xml:space="preserve"> </w:t>
      </w:r>
      <w:proofErr w:type="spellStart"/>
      <w:r>
        <w:t>of</w:t>
      </w:r>
      <w:proofErr w:type="spellEnd"/>
      <w:r>
        <w:t xml:space="preserve"> </w:t>
      </w:r>
      <w:proofErr w:type="spellStart"/>
      <w:r>
        <w:t>Glamping</w:t>
      </w:r>
      <w:proofErr w:type="spellEnd"/>
      <w:r>
        <w:t>)</w:t>
      </w:r>
    </w:p>
    <w:p w14:paraId="04BDDF2E" w14:textId="77777777" w:rsidR="00005464" w:rsidRDefault="00005464" w:rsidP="00005464">
      <w:pPr>
        <w:pStyle w:val="Odstavekseznama"/>
        <w:numPr>
          <w:ilvl w:val="0"/>
          <w:numId w:val="14"/>
        </w:numPr>
        <w:jc w:val="both"/>
      </w:pPr>
      <w:r>
        <w:t>dvig dodane vrednosti na zaposlenega</w:t>
      </w:r>
    </w:p>
    <w:p w14:paraId="03279665" w14:textId="77777777" w:rsidR="00005464" w:rsidRDefault="00005464" w:rsidP="00005464">
      <w:pPr>
        <w:pStyle w:val="Odstavekseznama"/>
        <w:numPr>
          <w:ilvl w:val="0"/>
          <w:numId w:val="14"/>
        </w:numPr>
        <w:jc w:val="both"/>
      </w:pPr>
      <w:r>
        <w:t>Vrednost investicije: 1.502.966,10 EUR</w:t>
      </w:r>
    </w:p>
    <w:p w14:paraId="041C84B3" w14:textId="660CBFF3" w:rsidR="00AB0D17" w:rsidRPr="00005464" w:rsidRDefault="00005464" w:rsidP="00005464">
      <w:pPr>
        <w:pStyle w:val="Odstavekseznama"/>
        <w:numPr>
          <w:ilvl w:val="0"/>
          <w:numId w:val="14"/>
        </w:numPr>
        <w:jc w:val="both"/>
      </w:pPr>
      <w:r>
        <w:t>Vrednost sofinanciranja EU – »</w:t>
      </w:r>
      <w:proofErr w:type="spellStart"/>
      <w:r>
        <w:t>NextGeneration</w:t>
      </w:r>
      <w:proofErr w:type="spellEnd"/>
      <w:r>
        <w:t xml:space="preserve"> EU«: 714.942,05 EUR</w:t>
      </w:r>
      <w:r w:rsidR="00AB0D17" w:rsidRPr="00005464">
        <w:rPr>
          <w:color w:val="FF0000"/>
        </w:rPr>
        <w:t>.</w:t>
      </w:r>
    </w:p>
    <w:p w14:paraId="551B848B" w14:textId="0039E440" w:rsidR="00AB0D17" w:rsidRPr="00DF1B3F" w:rsidRDefault="00AB0D17" w:rsidP="00005464">
      <w:pPr>
        <w:pStyle w:val="Odstavekseznama"/>
        <w:numPr>
          <w:ilvl w:val="0"/>
          <w:numId w:val="5"/>
        </w:numPr>
        <w:pBdr>
          <w:top w:val="single" w:sz="12" w:space="1" w:color="auto"/>
          <w:left w:val="single" w:sz="12" w:space="4" w:color="auto"/>
          <w:bottom w:val="single" w:sz="12" w:space="1" w:color="auto"/>
          <w:right w:val="single" w:sz="12" w:space="4" w:color="auto"/>
        </w:pBdr>
        <w:shd w:val="clear" w:color="auto" w:fill="9CC2E5" w:themeFill="accent5" w:themeFillTint="99"/>
        <w:jc w:val="both"/>
      </w:pPr>
      <w:r w:rsidRPr="00DF1B3F">
        <w:t xml:space="preserve">Najdaljši </w:t>
      </w:r>
      <w:proofErr w:type="spellStart"/>
      <w:r w:rsidRPr="00DF1B3F">
        <w:t>zipline</w:t>
      </w:r>
      <w:proofErr w:type="spellEnd"/>
      <w:r w:rsidRPr="00DF1B3F">
        <w:t xml:space="preserve"> v Sloveniji:</w:t>
      </w:r>
    </w:p>
    <w:p w14:paraId="1BB8A735" w14:textId="72052417" w:rsidR="00AB0D17" w:rsidRDefault="00AB0D17" w:rsidP="00005464">
      <w:pPr>
        <w:jc w:val="both"/>
      </w:pPr>
      <w:r w:rsidRPr="00DF1B3F">
        <w:t xml:space="preserve">Postavitev najdaljšega </w:t>
      </w:r>
      <w:proofErr w:type="spellStart"/>
      <w:r w:rsidRPr="00DF1B3F">
        <w:t>ziplina</w:t>
      </w:r>
      <w:proofErr w:type="spellEnd"/>
      <w:r w:rsidRPr="00DF1B3F">
        <w:t xml:space="preserve"> v Sloveniji v dolžini 1.200 m. Postavitev bo potekala vzporedno s sedežnico </w:t>
      </w:r>
      <w:proofErr w:type="spellStart"/>
      <w:r w:rsidRPr="00DF1B3F">
        <w:t>Gričice</w:t>
      </w:r>
      <w:proofErr w:type="spellEnd"/>
      <w:r w:rsidRPr="00DF1B3F">
        <w:t xml:space="preserve"> od vrha Gač do spodnje postaje sedežnice. Smo v pridobivanju dovoljenj. Vrednost projekta je ocenjena na 500.000 </w:t>
      </w:r>
      <w:r w:rsidR="00005464">
        <w:t>EUR</w:t>
      </w:r>
      <w:r w:rsidRPr="00DF1B3F">
        <w:t xml:space="preserve"> do 800.000</w:t>
      </w:r>
      <w:r w:rsidR="00005464">
        <w:t xml:space="preserve"> EUR</w:t>
      </w:r>
      <w:r w:rsidRPr="00DF1B3F">
        <w:t>.</w:t>
      </w:r>
    </w:p>
    <w:p w14:paraId="586D02E9" w14:textId="77777777" w:rsidR="00DF1B3F" w:rsidRPr="00DF1B3F" w:rsidRDefault="00DF1B3F" w:rsidP="00005464">
      <w:pPr>
        <w:jc w:val="both"/>
      </w:pPr>
    </w:p>
    <w:p w14:paraId="15F36683" w14:textId="10F4D5A9" w:rsidR="00AB0D17" w:rsidRPr="00DF1B3F" w:rsidRDefault="00AB0D17" w:rsidP="00005464">
      <w:pPr>
        <w:pStyle w:val="Odstavekseznama"/>
        <w:numPr>
          <w:ilvl w:val="0"/>
          <w:numId w:val="5"/>
        </w:numPr>
        <w:pBdr>
          <w:top w:val="single" w:sz="12" w:space="1" w:color="auto"/>
          <w:left w:val="single" w:sz="12" w:space="4" w:color="auto"/>
          <w:bottom w:val="single" w:sz="12" w:space="1" w:color="auto"/>
          <w:right w:val="single" w:sz="12" w:space="4" w:color="auto"/>
        </w:pBdr>
        <w:shd w:val="clear" w:color="auto" w:fill="DEEAF6" w:themeFill="accent5" w:themeFillTint="33"/>
        <w:jc w:val="both"/>
      </w:pPr>
      <w:proofErr w:type="spellStart"/>
      <w:r w:rsidRPr="00DF1B3F">
        <w:t>Downhill</w:t>
      </w:r>
      <w:proofErr w:type="spellEnd"/>
      <w:r w:rsidRPr="00DF1B3F">
        <w:t xml:space="preserve"> proge:</w:t>
      </w:r>
    </w:p>
    <w:p w14:paraId="35B0634B" w14:textId="2B359647" w:rsidR="00AB0D17" w:rsidRDefault="00AB0D17" w:rsidP="00005464">
      <w:pPr>
        <w:jc w:val="both"/>
      </w:pPr>
      <w:r w:rsidRPr="00DF1B3F">
        <w:t xml:space="preserve">Pripravljen je načrt za ureditev 3 </w:t>
      </w:r>
      <w:proofErr w:type="spellStart"/>
      <w:r w:rsidRPr="00DF1B3F">
        <w:t>downhill</w:t>
      </w:r>
      <w:proofErr w:type="spellEnd"/>
      <w:r w:rsidRPr="00DF1B3F">
        <w:t xml:space="preserve"> prog iz vrha Gač do spodnje postaje sedežnice </w:t>
      </w:r>
      <w:proofErr w:type="spellStart"/>
      <w:r w:rsidRPr="00DF1B3F">
        <w:t>Gričice</w:t>
      </w:r>
      <w:proofErr w:type="spellEnd"/>
      <w:r w:rsidRPr="00DF1B3F">
        <w:t xml:space="preserve">, v dolžini od 1.700 m do 4.300 m. Zajema </w:t>
      </w:r>
      <w:proofErr w:type="spellStart"/>
      <w:r w:rsidRPr="00DF1B3F">
        <w:t>flow</w:t>
      </w:r>
      <w:proofErr w:type="spellEnd"/>
      <w:r w:rsidRPr="00DF1B3F">
        <w:t xml:space="preserve"> progo za družine in dve progi za naprednejše uporabnike. Vrednost projekta je ocenjena na 100.000 </w:t>
      </w:r>
      <w:r w:rsidR="00005464">
        <w:t>EUR</w:t>
      </w:r>
      <w:r w:rsidRPr="00DF1B3F">
        <w:t>.</w:t>
      </w:r>
    </w:p>
    <w:p w14:paraId="7B42CE74" w14:textId="77777777" w:rsidR="00DF1B3F" w:rsidRPr="00DF1B3F" w:rsidRDefault="00DF1B3F" w:rsidP="00005464">
      <w:pPr>
        <w:jc w:val="both"/>
      </w:pPr>
    </w:p>
    <w:p w14:paraId="4ADDF476" w14:textId="38E99E4B" w:rsidR="00AB0D17" w:rsidRPr="00DF1B3F" w:rsidRDefault="00AB0D17" w:rsidP="00005464">
      <w:pPr>
        <w:pStyle w:val="Odstavekseznama"/>
        <w:numPr>
          <w:ilvl w:val="0"/>
          <w:numId w:val="5"/>
        </w:numPr>
        <w:pBdr>
          <w:top w:val="single" w:sz="12" w:space="1" w:color="auto"/>
          <w:left w:val="single" w:sz="12" w:space="4" w:color="auto"/>
          <w:bottom w:val="single" w:sz="12" w:space="1" w:color="auto"/>
          <w:right w:val="single" w:sz="12" w:space="4" w:color="auto"/>
        </w:pBdr>
        <w:shd w:val="clear" w:color="auto" w:fill="9CC2E5" w:themeFill="accent5" w:themeFillTint="99"/>
        <w:jc w:val="both"/>
      </w:pPr>
      <w:r w:rsidRPr="00DF1B3F">
        <w:t>Osvetlitev proge za nočno smuko:</w:t>
      </w:r>
    </w:p>
    <w:p w14:paraId="706E5C6D" w14:textId="4698577E" w:rsidR="00C25C89" w:rsidRDefault="00AB0D17" w:rsidP="00005464">
      <w:pPr>
        <w:jc w:val="both"/>
      </w:pPr>
      <w:r w:rsidRPr="00DF1B3F">
        <w:t>Postavitev osvetlitve za nočno smuko na progi B (</w:t>
      </w:r>
      <w:r>
        <w:t xml:space="preserve">vrh Gač - Koča Gače - parkirišče). Vrednost projekta je ocenjena na 150.000 </w:t>
      </w:r>
      <w:r w:rsidR="00960AA3">
        <w:t>EUR.</w:t>
      </w:r>
    </w:p>
    <w:p w14:paraId="525F6BF0" w14:textId="77777777" w:rsidR="00503464" w:rsidRDefault="00503464" w:rsidP="00005464">
      <w:pPr>
        <w:jc w:val="both"/>
      </w:pPr>
    </w:p>
    <w:p w14:paraId="30B97732" w14:textId="4A5630AB" w:rsidR="00503464" w:rsidRDefault="00503464" w:rsidP="00005464">
      <w:pPr>
        <w:jc w:val="both"/>
        <w:rPr>
          <w:b/>
          <w:bCs/>
        </w:rPr>
      </w:pPr>
      <w:r>
        <w:rPr>
          <w:b/>
          <w:bCs/>
        </w:rPr>
        <w:t>Kako je v tujini?</w:t>
      </w:r>
    </w:p>
    <w:p w14:paraId="6BB13E08" w14:textId="77777777" w:rsidR="00B000A1" w:rsidRDefault="00503464" w:rsidP="00005464">
      <w:pPr>
        <w:jc w:val="both"/>
      </w:pPr>
      <w:r w:rsidRPr="00503464">
        <w:t xml:space="preserve">V tujini so številna smučišča uspešno investirala v razširitev ponudbe z uvedbo celoletnih dejavnosti. Na primer, v Franciji so številni gorski centri uvedli kolesarske in pohodniške poti, kar je povečalo njihovo obiskanost tudi izven zimske sezone. Takšne investicije so povečale prihodke in omogočile stabilno obratovanje skozi vse leto. </w:t>
      </w:r>
    </w:p>
    <w:p w14:paraId="2BDE3B53" w14:textId="36C3A256" w:rsidR="00503464" w:rsidRPr="00503464" w:rsidRDefault="00503464" w:rsidP="00005464">
      <w:pPr>
        <w:jc w:val="both"/>
      </w:pPr>
      <w:r w:rsidRPr="00503464">
        <w:t xml:space="preserve">V Zgornji Avstriji so vzpostavili program </w:t>
      </w:r>
      <w:r w:rsidR="00B000A1">
        <w:t>»</w:t>
      </w:r>
      <w:r w:rsidRPr="00503464">
        <w:t>Razvoj turistične infrastrukture in filmske produkcije</w:t>
      </w:r>
      <w:r w:rsidR="00B000A1">
        <w:t>«</w:t>
      </w:r>
      <w:r w:rsidRPr="00503464">
        <w:t>, ki vključuje podporo naložbam v turistično infrastrukturo.</w:t>
      </w:r>
    </w:p>
    <w:p w14:paraId="470AE3A5" w14:textId="77777777" w:rsidR="00AB0D17" w:rsidRDefault="00AB0D17" w:rsidP="00005464"/>
    <w:bookmarkEnd w:id="4"/>
    <w:p w14:paraId="4C05822F" w14:textId="77777777" w:rsidR="000B3CC1" w:rsidRDefault="000B3CC1">
      <w:pPr>
        <w:rPr>
          <w:rFonts w:ascii="Calibri" w:eastAsiaTheme="majorEastAsia" w:hAnsi="Calibri" w:cstheme="majorBidi"/>
          <w:b/>
          <w:sz w:val="26"/>
          <w:szCs w:val="26"/>
        </w:rPr>
      </w:pPr>
      <w:r>
        <w:br w:type="page"/>
      </w:r>
    </w:p>
    <w:p w14:paraId="220C30FD" w14:textId="77777777" w:rsidR="00711341" w:rsidRDefault="00711341" w:rsidP="00005464">
      <w:pPr>
        <w:pStyle w:val="Naslov2"/>
        <w:numPr>
          <w:ilvl w:val="1"/>
          <w:numId w:val="1"/>
        </w:numPr>
        <w:sectPr w:rsidR="00711341" w:rsidSect="00561AC4">
          <w:headerReference w:type="default" r:id="rId10"/>
          <w:footerReference w:type="default" r:id="rId11"/>
          <w:pgSz w:w="11906" w:h="16838"/>
          <w:pgMar w:top="1417" w:right="1417" w:bottom="1417" w:left="1417" w:header="708" w:footer="708" w:gutter="0"/>
          <w:cols w:space="708"/>
          <w:titlePg/>
          <w:docGrid w:linePitch="360"/>
        </w:sectPr>
      </w:pPr>
    </w:p>
    <w:p w14:paraId="1110F236" w14:textId="55C5BD1C" w:rsidR="00C25C89" w:rsidRDefault="00C25C89" w:rsidP="00005464">
      <w:pPr>
        <w:pStyle w:val="Naslov2"/>
        <w:numPr>
          <w:ilvl w:val="1"/>
          <w:numId w:val="1"/>
        </w:numPr>
      </w:pPr>
      <w:bookmarkStart w:id="6" w:name="_Toc180049337"/>
      <w:r>
        <w:t>Stroški obratovanja</w:t>
      </w:r>
      <w:r w:rsidR="00141203">
        <w:t xml:space="preserve"> in vzdrževanja</w:t>
      </w:r>
      <w:r>
        <w:t xml:space="preserve"> smučišča, ki bremenijo nadaljnji razvoj RTC Gače</w:t>
      </w:r>
      <w:bookmarkEnd w:id="6"/>
    </w:p>
    <w:p w14:paraId="5228C19B" w14:textId="77777777" w:rsidR="00C25C89" w:rsidRDefault="00C25C89" w:rsidP="00005464"/>
    <w:p w14:paraId="36B90735" w14:textId="3422F61C" w:rsidR="00986482" w:rsidRPr="00711341" w:rsidRDefault="00141203" w:rsidP="00005464">
      <w:r>
        <w:t>V nadaljevanju so podrobneje podani stroški vzdrževanja</w:t>
      </w:r>
      <w:r w:rsidR="00711341">
        <w:t xml:space="preserve"> (10 mesecev v letu), zasneževanja in </w:t>
      </w:r>
      <w:proofErr w:type="spellStart"/>
      <w:r w:rsidR="00711341">
        <w:t>dosneževanja</w:t>
      </w:r>
      <w:proofErr w:type="spellEnd"/>
      <w:r w:rsidR="00711341">
        <w:t xml:space="preserve"> (povprečno 15 dni v letu) in obratovanja smučišča (povprečno 45 dni v letu)</w:t>
      </w:r>
      <w:r>
        <w:t>.</w:t>
      </w:r>
    </w:p>
    <w:p w14:paraId="1DCE6DA7" w14:textId="1F4496CF" w:rsidR="00986482" w:rsidRDefault="00780E6A" w:rsidP="00005464">
      <w:r>
        <w:t>Tabela: Povprečni stroški poslovanja smučišča v zadnjih treh letih (v EUR)</w:t>
      </w:r>
    </w:p>
    <w:tbl>
      <w:tblPr>
        <w:tblW w:w="1381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hemeFill="background1"/>
        <w:tblLayout w:type="fixed"/>
        <w:tblCellMar>
          <w:left w:w="70" w:type="dxa"/>
          <w:right w:w="70" w:type="dxa"/>
        </w:tblCellMar>
        <w:tblLook w:val="04A0" w:firstRow="1" w:lastRow="0" w:firstColumn="1" w:lastColumn="0" w:noHBand="0" w:noVBand="1"/>
      </w:tblPr>
      <w:tblGrid>
        <w:gridCol w:w="3818"/>
        <w:gridCol w:w="2551"/>
        <w:gridCol w:w="2481"/>
        <w:gridCol w:w="2480"/>
        <w:gridCol w:w="2481"/>
      </w:tblGrid>
      <w:tr w:rsidR="00711341" w:rsidRPr="00780E6A" w14:paraId="745FA9FB" w14:textId="3FAE9047" w:rsidTr="00711341">
        <w:trPr>
          <w:trHeight w:val="300"/>
          <w:jc w:val="center"/>
        </w:trPr>
        <w:tc>
          <w:tcPr>
            <w:tcW w:w="3818" w:type="dxa"/>
            <w:tcBorders>
              <w:bottom w:val="single" w:sz="8" w:space="0" w:color="auto"/>
            </w:tcBorders>
            <w:shd w:val="clear" w:color="auto" w:fill="D9D9D9" w:themeFill="background1" w:themeFillShade="D9"/>
            <w:noWrap/>
            <w:vAlign w:val="center"/>
            <w:hideMark/>
          </w:tcPr>
          <w:p w14:paraId="61B70FBB" w14:textId="77777777" w:rsidR="00711341" w:rsidRPr="00780E6A" w:rsidRDefault="00711341" w:rsidP="00711341">
            <w:pPr>
              <w:spacing w:after="0"/>
              <w:jc w:val="center"/>
              <w:rPr>
                <w:rFonts w:cstheme="minorHAnsi"/>
                <w:b/>
                <w:bCs/>
                <w:color w:val="000000"/>
                <w:lang w:eastAsia="sl-SI"/>
              </w:rPr>
            </w:pPr>
            <w:r w:rsidRPr="00780E6A">
              <w:rPr>
                <w:rFonts w:cstheme="minorHAnsi"/>
                <w:b/>
                <w:bCs/>
                <w:color w:val="000000"/>
                <w:lang w:eastAsia="sl-SI"/>
              </w:rPr>
              <w:t>Stroški poslovanja</w:t>
            </w:r>
          </w:p>
        </w:tc>
        <w:tc>
          <w:tcPr>
            <w:tcW w:w="2551" w:type="dxa"/>
            <w:tcBorders>
              <w:bottom w:val="single" w:sz="8" w:space="0" w:color="auto"/>
              <w:right w:val="single" w:sz="2" w:space="0" w:color="auto"/>
            </w:tcBorders>
            <w:shd w:val="clear" w:color="auto" w:fill="D9D9D9" w:themeFill="background1" w:themeFillShade="D9"/>
            <w:noWrap/>
            <w:vAlign w:val="center"/>
            <w:hideMark/>
          </w:tcPr>
          <w:p w14:paraId="46E37670" w14:textId="499A7F3A" w:rsidR="00711341" w:rsidRPr="00780E6A" w:rsidRDefault="00711341" w:rsidP="00711341">
            <w:pPr>
              <w:spacing w:after="0"/>
              <w:jc w:val="center"/>
              <w:rPr>
                <w:rFonts w:cstheme="minorHAnsi"/>
                <w:b/>
                <w:bCs/>
                <w:color w:val="000000"/>
                <w:lang w:eastAsia="sl-SI"/>
              </w:rPr>
            </w:pPr>
            <w:proofErr w:type="spellStart"/>
            <w:r w:rsidRPr="00780E6A">
              <w:rPr>
                <w:rFonts w:cstheme="minorHAnsi"/>
                <w:b/>
                <w:bCs/>
                <w:color w:val="000000"/>
              </w:rPr>
              <w:t>Povpr</w:t>
            </w:r>
            <w:proofErr w:type="spellEnd"/>
            <w:r w:rsidRPr="00780E6A">
              <w:rPr>
                <w:rFonts w:cstheme="minorHAnsi"/>
                <w:b/>
                <w:bCs/>
                <w:color w:val="000000"/>
              </w:rPr>
              <w:t>. stroški vzdrževanja zadnjih 3 let na leto</w:t>
            </w:r>
          </w:p>
        </w:tc>
        <w:tc>
          <w:tcPr>
            <w:tcW w:w="2481" w:type="dxa"/>
            <w:tcBorders>
              <w:left w:val="single" w:sz="2" w:space="0" w:color="auto"/>
              <w:bottom w:val="single" w:sz="8" w:space="0" w:color="auto"/>
              <w:right w:val="single" w:sz="2" w:space="0" w:color="auto"/>
            </w:tcBorders>
            <w:shd w:val="clear" w:color="auto" w:fill="D9D9D9" w:themeFill="background1" w:themeFillShade="D9"/>
            <w:noWrap/>
            <w:vAlign w:val="bottom"/>
            <w:hideMark/>
          </w:tcPr>
          <w:p w14:paraId="1F438A0B" w14:textId="10C71B1B" w:rsidR="00711341" w:rsidRPr="00780E6A" w:rsidRDefault="00711341" w:rsidP="00711341">
            <w:pPr>
              <w:spacing w:after="0"/>
              <w:jc w:val="center"/>
              <w:rPr>
                <w:rFonts w:cstheme="minorHAnsi"/>
                <w:b/>
                <w:bCs/>
                <w:color w:val="000000"/>
                <w:lang w:eastAsia="sl-SI"/>
              </w:rPr>
            </w:pPr>
            <w:r w:rsidRPr="00780E6A">
              <w:rPr>
                <w:rFonts w:cstheme="minorHAnsi"/>
                <w:b/>
                <w:bCs/>
                <w:color w:val="000000"/>
              </w:rPr>
              <w:t>Stroški zasneževanja</w:t>
            </w:r>
          </w:p>
        </w:tc>
        <w:tc>
          <w:tcPr>
            <w:tcW w:w="2480" w:type="dxa"/>
            <w:tcBorders>
              <w:left w:val="single" w:sz="2" w:space="0" w:color="auto"/>
              <w:bottom w:val="single" w:sz="8" w:space="0" w:color="auto"/>
            </w:tcBorders>
            <w:shd w:val="clear" w:color="auto" w:fill="D9D9D9" w:themeFill="background1" w:themeFillShade="D9"/>
            <w:noWrap/>
            <w:vAlign w:val="bottom"/>
            <w:hideMark/>
          </w:tcPr>
          <w:p w14:paraId="7D139C49" w14:textId="3D4312C3" w:rsidR="00711341" w:rsidRPr="00780E6A" w:rsidRDefault="00711341" w:rsidP="00711341">
            <w:pPr>
              <w:spacing w:after="0"/>
              <w:jc w:val="center"/>
              <w:rPr>
                <w:rFonts w:cstheme="minorHAnsi"/>
                <w:b/>
                <w:bCs/>
                <w:color w:val="000000"/>
                <w:lang w:eastAsia="sl-SI"/>
              </w:rPr>
            </w:pPr>
            <w:r w:rsidRPr="00780E6A">
              <w:rPr>
                <w:rFonts w:cstheme="minorHAnsi"/>
                <w:b/>
                <w:bCs/>
                <w:color w:val="000000"/>
              </w:rPr>
              <w:t>Povprečni stroški obratovanja</w:t>
            </w:r>
          </w:p>
        </w:tc>
        <w:tc>
          <w:tcPr>
            <w:tcW w:w="2481" w:type="dxa"/>
            <w:tcBorders>
              <w:bottom w:val="single" w:sz="8" w:space="0" w:color="auto"/>
            </w:tcBorders>
            <w:shd w:val="clear" w:color="auto" w:fill="D9D9D9" w:themeFill="background1" w:themeFillShade="D9"/>
            <w:vAlign w:val="bottom"/>
          </w:tcPr>
          <w:p w14:paraId="26E1BB34" w14:textId="51338899" w:rsidR="00711341" w:rsidRPr="00780E6A" w:rsidRDefault="00711341" w:rsidP="00711341">
            <w:pPr>
              <w:spacing w:after="0"/>
              <w:jc w:val="center"/>
              <w:rPr>
                <w:rFonts w:cstheme="minorHAnsi"/>
                <w:b/>
                <w:bCs/>
                <w:color w:val="000000"/>
                <w:lang w:eastAsia="sl-SI"/>
              </w:rPr>
            </w:pPr>
            <w:r w:rsidRPr="00780E6A">
              <w:rPr>
                <w:rFonts w:cstheme="minorHAnsi"/>
                <w:b/>
                <w:bCs/>
                <w:color w:val="000000"/>
              </w:rPr>
              <w:t>Skupaj</w:t>
            </w:r>
          </w:p>
        </w:tc>
      </w:tr>
      <w:tr w:rsidR="00780E6A" w:rsidRPr="00780E6A" w14:paraId="61B67AFD" w14:textId="3CD77FB9" w:rsidTr="00780E6A">
        <w:trPr>
          <w:trHeight w:val="278"/>
          <w:jc w:val="center"/>
        </w:trPr>
        <w:tc>
          <w:tcPr>
            <w:tcW w:w="3818" w:type="dxa"/>
            <w:tcBorders>
              <w:bottom w:val="single" w:sz="2" w:space="0" w:color="auto"/>
            </w:tcBorders>
            <w:shd w:val="clear" w:color="auto" w:fill="DEEAF6" w:themeFill="accent5" w:themeFillTint="33"/>
            <w:noWrap/>
            <w:vAlign w:val="center"/>
            <w:hideMark/>
          </w:tcPr>
          <w:p w14:paraId="1508FFFE" w14:textId="16D92717" w:rsidR="00780E6A" w:rsidRPr="00780E6A" w:rsidRDefault="00780E6A" w:rsidP="00780E6A">
            <w:pPr>
              <w:spacing w:after="0"/>
              <w:rPr>
                <w:rFonts w:cstheme="minorHAnsi"/>
                <w:color w:val="000000"/>
                <w:lang w:eastAsia="sl-SI"/>
              </w:rPr>
            </w:pPr>
            <w:r w:rsidRPr="00780E6A">
              <w:rPr>
                <w:rFonts w:cstheme="minorHAnsi"/>
                <w:color w:val="000000"/>
                <w:lang w:eastAsia="sl-SI"/>
              </w:rPr>
              <w:t>1. Redno vzdrževanje naprav in opreme</w:t>
            </w:r>
          </w:p>
        </w:tc>
        <w:tc>
          <w:tcPr>
            <w:tcW w:w="2551" w:type="dxa"/>
            <w:tcBorders>
              <w:bottom w:val="single" w:sz="2" w:space="0" w:color="auto"/>
              <w:right w:val="single" w:sz="2" w:space="0" w:color="auto"/>
            </w:tcBorders>
            <w:shd w:val="clear" w:color="auto" w:fill="DEEAF6" w:themeFill="accent5" w:themeFillTint="33"/>
            <w:noWrap/>
            <w:vAlign w:val="bottom"/>
            <w:hideMark/>
          </w:tcPr>
          <w:p w14:paraId="155165DA" w14:textId="40C1CBA7" w:rsidR="00780E6A" w:rsidRPr="00780E6A" w:rsidRDefault="00780E6A" w:rsidP="00780E6A">
            <w:pPr>
              <w:spacing w:after="0"/>
              <w:ind w:right="640"/>
              <w:jc w:val="right"/>
              <w:rPr>
                <w:rFonts w:cstheme="minorHAnsi"/>
                <w:color w:val="000000"/>
              </w:rPr>
            </w:pPr>
            <w:r w:rsidRPr="00780E6A">
              <w:rPr>
                <w:rFonts w:cstheme="minorHAnsi"/>
                <w:color w:val="000000"/>
              </w:rPr>
              <w:t>26.800</w:t>
            </w:r>
          </w:p>
        </w:tc>
        <w:tc>
          <w:tcPr>
            <w:tcW w:w="2481" w:type="dxa"/>
            <w:tcBorders>
              <w:left w:val="single" w:sz="2" w:space="0" w:color="auto"/>
              <w:bottom w:val="single" w:sz="2" w:space="0" w:color="auto"/>
              <w:right w:val="single" w:sz="2" w:space="0" w:color="auto"/>
            </w:tcBorders>
            <w:shd w:val="clear" w:color="auto" w:fill="DEEAF6" w:themeFill="accent5" w:themeFillTint="33"/>
            <w:noWrap/>
            <w:vAlign w:val="bottom"/>
            <w:hideMark/>
          </w:tcPr>
          <w:p w14:paraId="6EBD26F9" w14:textId="766F384D" w:rsidR="00780E6A" w:rsidRPr="00780E6A" w:rsidRDefault="00780E6A" w:rsidP="00780E6A">
            <w:pPr>
              <w:spacing w:after="0"/>
              <w:ind w:right="640"/>
              <w:jc w:val="right"/>
              <w:rPr>
                <w:rFonts w:cstheme="minorHAnsi"/>
                <w:color w:val="000000"/>
              </w:rPr>
            </w:pPr>
            <w:r w:rsidRPr="00780E6A">
              <w:rPr>
                <w:rFonts w:cstheme="minorHAnsi"/>
                <w:color w:val="000000"/>
              </w:rPr>
              <w:t>1.500</w:t>
            </w:r>
          </w:p>
        </w:tc>
        <w:tc>
          <w:tcPr>
            <w:tcW w:w="2480" w:type="dxa"/>
            <w:tcBorders>
              <w:left w:val="single" w:sz="2" w:space="0" w:color="auto"/>
              <w:bottom w:val="single" w:sz="2" w:space="0" w:color="auto"/>
            </w:tcBorders>
            <w:shd w:val="clear" w:color="auto" w:fill="DEEAF6" w:themeFill="accent5" w:themeFillTint="33"/>
            <w:noWrap/>
            <w:vAlign w:val="bottom"/>
            <w:hideMark/>
          </w:tcPr>
          <w:p w14:paraId="698D02EF" w14:textId="78F98BF5" w:rsidR="00780E6A" w:rsidRPr="00780E6A" w:rsidRDefault="00780E6A" w:rsidP="00780E6A">
            <w:pPr>
              <w:spacing w:after="0"/>
              <w:ind w:right="640"/>
              <w:jc w:val="right"/>
              <w:rPr>
                <w:rFonts w:cstheme="minorHAnsi"/>
                <w:color w:val="000000"/>
              </w:rPr>
            </w:pPr>
            <w:r w:rsidRPr="00780E6A">
              <w:rPr>
                <w:rFonts w:cstheme="minorHAnsi"/>
                <w:color w:val="000000"/>
              </w:rPr>
              <w:t>6.000</w:t>
            </w:r>
          </w:p>
        </w:tc>
        <w:tc>
          <w:tcPr>
            <w:tcW w:w="2481" w:type="dxa"/>
            <w:tcBorders>
              <w:bottom w:val="single" w:sz="2" w:space="0" w:color="auto"/>
            </w:tcBorders>
            <w:shd w:val="clear" w:color="auto" w:fill="DEEAF6" w:themeFill="accent5" w:themeFillTint="33"/>
            <w:vAlign w:val="bottom"/>
          </w:tcPr>
          <w:p w14:paraId="324BC123" w14:textId="478E1B96" w:rsidR="00780E6A" w:rsidRPr="00780E6A" w:rsidRDefault="00780E6A" w:rsidP="00780E6A">
            <w:pPr>
              <w:spacing w:after="0"/>
              <w:ind w:right="640"/>
              <w:jc w:val="right"/>
              <w:rPr>
                <w:rFonts w:cstheme="minorHAnsi"/>
                <w:color w:val="000000"/>
              </w:rPr>
            </w:pPr>
            <w:r w:rsidRPr="00780E6A">
              <w:rPr>
                <w:rFonts w:cstheme="minorHAnsi"/>
                <w:b/>
                <w:bCs/>
                <w:color w:val="000000"/>
              </w:rPr>
              <w:t>34.300</w:t>
            </w:r>
          </w:p>
        </w:tc>
      </w:tr>
      <w:tr w:rsidR="00780E6A" w:rsidRPr="00780E6A" w14:paraId="21B9EC01" w14:textId="1F3D28E5" w:rsidTr="00780E6A">
        <w:trPr>
          <w:trHeight w:val="278"/>
          <w:jc w:val="center"/>
        </w:trPr>
        <w:tc>
          <w:tcPr>
            <w:tcW w:w="3818" w:type="dxa"/>
            <w:tcBorders>
              <w:top w:val="single" w:sz="2" w:space="0" w:color="auto"/>
              <w:bottom w:val="single" w:sz="2" w:space="0" w:color="auto"/>
            </w:tcBorders>
            <w:shd w:val="clear" w:color="auto" w:fill="DEEAF6" w:themeFill="accent5" w:themeFillTint="33"/>
            <w:noWrap/>
            <w:vAlign w:val="center"/>
            <w:hideMark/>
          </w:tcPr>
          <w:p w14:paraId="309938E4" w14:textId="5130A8E5" w:rsidR="00780E6A" w:rsidRPr="00780E6A" w:rsidRDefault="00780E6A" w:rsidP="00780E6A">
            <w:pPr>
              <w:spacing w:after="0"/>
              <w:rPr>
                <w:rFonts w:cstheme="minorHAnsi"/>
                <w:color w:val="000000"/>
                <w:sz w:val="18"/>
                <w:szCs w:val="18"/>
                <w:lang w:eastAsia="sl-SI"/>
              </w:rPr>
            </w:pPr>
            <w:r w:rsidRPr="00780E6A">
              <w:rPr>
                <w:rFonts w:cstheme="minorHAnsi"/>
                <w:color w:val="000000"/>
                <w:sz w:val="18"/>
                <w:szCs w:val="18"/>
                <w:lang w:eastAsia="sl-SI"/>
              </w:rPr>
              <w:t xml:space="preserve">   - 4 vlečnice </w:t>
            </w:r>
          </w:p>
        </w:tc>
        <w:tc>
          <w:tcPr>
            <w:tcW w:w="2551" w:type="dxa"/>
            <w:tcBorders>
              <w:top w:val="single" w:sz="2" w:space="0" w:color="auto"/>
              <w:bottom w:val="single" w:sz="2" w:space="0" w:color="auto"/>
              <w:right w:val="single" w:sz="2" w:space="0" w:color="auto"/>
            </w:tcBorders>
            <w:shd w:val="clear" w:color="auto" w:fill="DEEAF6" w:themeFill="accent5" w:themeFillTint="33"/>
            <w:noWrap/>
            <w:vAlign w:val="bottom"/>
            <w:hideMark/>
          </w:tcPr>
          <w:p w14:paraId="01285BC6" w14:textId="750E4CD9" w:rsidR="00780E6A" w:rsidRPr="00780E6A" w:rsidRDefault="00780E6A" w:rsidP="00780E6A">
            <w:pPr>
              <w:spacing w:after="0"/>
              <w:ind w:right="640"/>
              <w:jc w:val="right"/>
              <w:rPr>
                <w:rFonts w:cstheme="minorHAnsi"/>
                <w:i/>
                <w:iCs/>
                <w:color w:val="000000"/>
                <w:sz w:val="18"/>
                <w:szCs w:val="18"/>
              </w:rPr>
            </w:pPr>
            <w:r w:rsidRPr="00780E6A">
              <w:rPr>
                <w:rFonts w:cstheme="minorHAnsi"/>
                <w:color w:val="000000"/>
                <w:sz w:val="18"/>
                <w:szCs w:val="18"/>
              </w:rPr>
              <w:t>6.500</w:t>
            </w:r>
          </w:p>
        </w:tc>
        <w:tc>
          <w:tcPr>
            <w:tcW w:w="2481" w:type="dxa"/>
            <w:tcBorders>
              <w:top w:val="single" w:sz="2" w:space="0" w:color="auto"/>
              <w:left w:val="single" w:sz="2" w:space="0" w:color="auto"/>
              <w:bottom w:val="single" w:sz="2" w:space="0" w:color="auto"/>
              <w:right w:val="single" w:sz="2" w:space="0" w:color="auto"/>
            </w:tcBorders>
            <w:shd w:val="clear" w:color="auto" w:fill="DEEAF6" w:themeFill="accent5" w:themeFillTint="33"/>
            <w:noWrap/>
            <w:vAlign w:val="bottom"/>
            <w:hideMark/>
          </w:tcPr>
          <w:p w14:paraId="04555F59" w14:textId="63A02AFD" w:rsidR="00780E6A" w:rsidRPr="00780E6A" w:rsidRDefault="00780E6A" w:rsidP="00780E6A">
            <w:pPr>
              <w:spacing w:after="0"/>
              <w:ind w:right="640"/>
              <w:jc w:val="right"/>
              <w:rPr>
                <w:rFonts w:cstheme="minorHAnsi"/>
                <w:i/>
                <w:iCs/>
                <w:color w:val="000000"/>
                <w:sz w:val="18"/>
                <w:szCs w:val="18"/>
              </w:rPr>
            </w:pPr>
            <w:r w:rsidRPr="00780E6A">
              <w:rPr>
                <w:rFonts w:cstheme="minorHAnsi"/>
                <w:color w:val="000000"/>
                <w:sz w:val="18"/>
                <w:szCs w:val="18"/>
              </w:rPr>
              <w:t> </w:t>
            </w:r>
          </w:p>
        </w:tc>
        <w:tc>
          <w:tcPr>
            <w:tcW w:w="2480" w:type="dxa"/>
            <w:tcBorders>
              <w:top w:val="single" w:sz="2" w:space="0" w:color="auto"/>
              <w:left w:val="single" w:sz="2" w:space="0" w:color="auto"/>
              <w:bottom w:val="single" w:sz="2" w:space="0" w:color="auto"/>
            </w:tcBorders>
            <w:shd w:val="clear" w:color="auto" w:fill="DEEAF6" w:themeFill="accent5" w:themeFillTint="33"/>
            <w:noWrap/>
            <w:vAlign w:val="bottom"/>
            <w:hideMark/>
          </w:tcPr>
          <w:p w14:paraId="5A379773" w14:textId="53E201D3" w:rsidR="00780E6A" w:rsidRPr="00780E6A" w:rsidRDefault="00780E6A" w:rsidP="00780E6A">
            <w:pPr>
              <w:spacing w:after="0"/>
              <w:ind w:right="640"/>
              <w:jc w:val="right"/>
              <w:rPr>
                <w:rFonts w:cstheme="minorHAnsi"/>
                <w:i/>
                <w:iCs/>
                <w:color w:val="000000"/>
                <w:sz w:val="18"/>
                <w:szCs w:val="18"/>
              </w:rPr>
            </w:pPr>
            <w:r w:rsidRPr="00780E6A">
              <w:rPr>
                <w:rFonts w:cstheme="minorHAnsi"/>
                <w:color w:val="000000"/>
                <w:sz w:val="18"/>
                <w:szCs w:val="18"/>
              </w:rPr>
              <w:t>1.500</w:t>
            </w:r>
          </w:p>
        </w:tc>
        <w:tc>
          <w:tcPr>
            <w:tcW w:w="2481" w:type="dxa"/>
            <w:tcBorders>
              <w:top w:val="single" w:sz="2" w:space="0" w:color="auto"/>
              <w:bottom w:val="single" w:sz="2" w:space="0" w:color="auto"/>
            </w:tcBorders>
            <w:shd w:val="clear" w:color="auto" w:fill="DEEAF6" w:themeFill="accent5" w:themeFillTint="33"/>
            <w:vAlign w:val="bottom"/>
          </w:tcPr>
          <w:p w14:paraId="0856901E" w14:textId="0D3552B2" w:rsidR="00780E6A" w:rsidRPr="00780E6A" w:rsidRDefault="00780E6A" w:rsidP="00780E6A">
            <w:pPr>
              <w:spacing w:after="0"/>
              <w:ind w:right="640"/>
              <w:jc w:val="right"/>
              <w:rPr>
                <w:rFonts w:cstheme="minorHAnsi"/>
                <w:i/>
                <w:iCs/>
                <w:color w:val="000000"/>
                <w:sz w:val="18"/>
                <w:szCs w:val="18"/>
              </w:rPr>
            </w:pPr>
            <w:r w:rsidRPr="00780E6A">
              <w:rPr>
                <w:rFonts w:cstheme="minorHAnsi"/>
                <w:b/>
                <w:bCs/>
                <w:color w:val="000000"/>
                <w:sz w:val="18"/>
                <w:szCs w:val="18"/>
              </w:rPr>
              <w:t>8.000</w:t>
            </w:r>
          </w:p>
        </w:tc>
      </w:tr>
      <w:tr w:rsidR="00780E6A" w:rsidRPr="00780E6A" w14:paraId="05928BA8" w14:textId="7BE387D7" w:rsidTr="00780E6A">
        <w:trPr>
          <w:trHeight w:val="278"/>
          <w:jc w:val="center"/>
        </w:trPr>
        <w:tc>
          <w:tcPr>
            <w:tcW w:w="3818" w:type="dxa"/>
            <w:tcBorders>
              <w:top w:val="single" w:sz="2" w:space="0" w:color="auto"/>
              <w:bottom w:val="single" w:sz="2" w:space="0" w:color="auto"/>
            </w:tcBorders>
            <w:shd w:val="clear" w:color="auto" w:fill="DEEAF6" w:themeFill="accent5" w:themeFillTint="33"/>
            <w:noWrap/>
            <w:vAlign w:val="center"/>
            <w:hideMark/>
          </w:tcPr>
          <w:p w14:paraId="749FB90D" w14:textId="31D1C83F" w:rsidR="00780E6A" w:rsidRPr="00780E6A" w:rsidRDefault="00780E6A" w:rsidP="00780E6A">
            <w:pPr>
              <w:spacing w:after="0"/>
              <w:rPr>
                <w:rFonts w:cstheme="minorHAnsi"/>
                <w:color w:val="000000"/>
                <w:sz w:val="18"/>
                <w:szCs w:val="18"/>
                <w:lang w:eastAsia="sl-SI"/>
              </w:rPr>
            </w:pPr>
            <w:r w:rsidRPr="00780E6A">
              <w:rPr>
                <w:rFonts w:cstheme="minorHAnsi"/>
                <w:color w:val="000000"/>
                <w:sz w:val="18"/>
                <w:szCs w:val="18"/>
                <w:lang w:eastAsia="sl-SI"/>
              </w:rPr>
              <w:t xml:space="preserve">   - sedežnica </w:t>
            </w:r>
          </w:p>
        </w:tc>
        <w:tc>
          <w:tcPr>
            <w:tcW w:w="2551" w:type="dxa"/>
            <w:tcBorders>
              <w:top w:val="single" w:sz="2" w:space="0" w:color="auto"/>
              <w:bottom w:val="single" w:sz="2" w:space="0" w:color="auto"/>
              <w:right w:val="single" w:sz="2" w:space="0" w:color="auto"/>
            </w:tcBorders>
            <w:shd w:val="clear" w:color="auto" w:fill="DEEAF6" w:themeFill="accent5" w:themeFillTint="33"/>
            <w:noWrap/>
            <w:vAlign w:val="bottom"/>
            <w:hideMark/>
          </w:tcPr>
          <w:p w14:paraId="2E8B2DFF" w14:textId="3ABF9BFC" w:rsidR="00780E6A" w:rsidRPr="00780E6A" w:rsidRDefault="00780E6A" w:rsidP="00780E6A">
            <w:pPr>
              <w:spacing w:after="0"/>
              <w:ind w:right="640"/>
              <w:jc w:val="right"/>
              <w:rPr>
                <w:rFonts w:cstheme="minorHAnsi"/>
                <w:i/>
                <w:iCs/>
                <w:color w:val="000000"/>
                <w:sz w:val="18"/>
                <w:szCs w:val="18"/>
              </w:rPr>
            </w:pPr>
            <w:r w:rsidRPr="00780E6A">
              <w:rPr>
                <w:rFonts w:cstheme="minorHAnsi"/>
                <w:color w:val="000000"/>
                <w:sz w:val="18"/>
                <w:szCs w:val="18"/>
              </w:rPr>
              <w:t>5.800</w:t>
            </w:r>
          </w:p>
        </w:tc>
        <w:tc>
          <w:tcPr>
            <w:tcW w:w="2481" w:type="dxa"/>
            <w:tcBorders>
              <w:top w:val="single" w:sz="2" w:space="0" w:color="auto"/>
              <w:left w:val="single" w:sz="2" w:space="0" w:color="auto"/>
              <w:bottom w:val="single" w:sz="2" w:space="0" w:color="auto"/>
              <w:right w:val="single" w:sz="2" w:space="0" w:color="auto"/>
            </w:tcBorders>
            <w:shd w:val="clear" w:color="auto" w:fill="DEEAF6" w:themeFill="accent5" w:themeFillTint="33"/>
            <w:noWrap/>
            <w:vAlign w:val="bottom"/>
            <w:hideMark/>
          </w:tcPr>
          <w:p w14:paraId="2C70564C" w14:textId="38CC593C" w:rsidR="00780E6A" w:rsidRPr="00780E6A" w:rsidRDefault="00780E6A" w:rsidP="00780E6A">
            <w:pPr>
              <w:spacing w:after="0"/>
              <w:ind w:right="640"/>
              <w:jc w:val="right"/>
              <w:rPr>
                <w:rFonts w:cstheme="minorHAnsi"/>
                <w:i/>
                <w:iCs/>
                <w:color w:val="000000"/>
                <w:sz w:val="18"/>
                <w:szCs w:val="18"/>
              </w:rPr>
            </w:pPr>
            <w:r w:rsidRPr="00780E6A">
              <w:rPr>
                <w:rFonts w:cstheme="minorHAnsi"/>
                <w:color w:val="000000"/>
                <w:sz w:val="18"/>
                <w:szCs w:val="18"/>
              </w:rPr>
              <w:t> </w:t>
            </w:r>
          </w:p>
        </w:tc>
        <w:tc>
          <w:tcPr>
            <w:tcW w:w="2480" w:type="dxa"/>
            <w:tcBorders>
              <w:top w:val="single" w:sz="2" w:space="0" w:color="auto"/>
              <w:left w:val="single" w:sz="2" w:space="0" w:color="auto"/>
              <w:bottom w:val="single" w:sz="2" w:space="0" w:color="auto"/>
            </w:tcBorders>
            <w:shd w:val="clear" w:color="auto" w:fill="DEEAF6" w:themeFill="accent5" w:themeFillTint="33"/>
            <w:noWrap/>
            <w:vAlign w:val="bottom"/>
            <w:hideMark/>
          </w:tcPr>
          <w:p w14:paraId="6CAB6019" w14:textId="0CBADFAD" w:rsidR="00780E6A" w:rsidRPr="00780E6A" w:rsidRDefault="00780E6A" w:rsidP="00780E6A">
            <w:pPr>
              <w:spacing w:after="0"/>
              <w:ind w:right="640"/>
              <w:jc w:val="right"/>
              <w:rPr>
                <w:rFonts w:cstheme="minorHAnsi"/>
                <w:i/>
                <w:iCs/>
                <w:color w:val="000000"/>
                <w:sz w:val="18"/>
                <w:szCs w:val="18"/>
              </w:rPr>
            </w:pPr>
            <w:r w:rsidRPr="00780E6A">
              <w:rPr>
                <w:rFonts w:cstheme="minorHAnsi"/>
                <w:color w:val="000000"/>
                <w:sz w:val="18"/>
                <w:szCs w:val="18"/>
              </w:rPr>
              <w:t>2.000</w:t>
            </w:r>
          </w:p>
        </w:tc>
        <w:tc>
          <w:tcPr>
            <w:tcW w:w="2481" w:type="dxa"/>
            <w:tcBorders>
              <w:top w:val="single" w:sz="2" w:space="0" w:color="auto"/>
              <w:bottom w:val="single" w:sz="2" w:space="0" w:color="auto"/>
            </w:tcBorders>
            <w:shd w:val="clear" w:color="auto" w:fill="DEEAF6" w:themeFill="accent5" w:themeFillTint="33"/>
            <w:vAlign w:val="bottom"/>
          </w:tcPr>
          <w:p w14:paraId="62DF451B" w14:textId="0A06DB49" w:rsidR="00780E6A" w:rsidRPr="00780E6A" w:rsidRDefault="00780E6A" w:rsidP="00780E6A">
            <w:pPr>
              <w:spacing w:after="0"/>
              <w:ind w:right="640"/>
              <w:jc w:val="right"/>
              <w:rPr>
                <w:rFonts w:cstheme="minorHAnsi"/>
                <w:i/>
                <w:iCs/>
                <w:color w:val="000000"/>
                <w:sz w:val="18"/>
                <w:szCs w:val="18"/>
              </w:rPr>
            </w:pPr>
            <w:r w:rsidRPr="00780E6A">
              <w:rPr>
                <w:rFonts w:cstheme="minorHAnsi"/>
                <w:b/>
                <w:bCs/>
                <w:color w:val="000000"/>
                <w:sz w:val="18"/>
                <w:szCs w:val="18"/>
              </w:rPr>
              <w:t>7.800</w:t>
            </w:r>
          </w:p>
        </w:tc>
      </w:tr>
      <w:tr w:rsidR="00780E6A" w:rsidRPr="00780E6A" w14:paraId="6DA96577" w14:textId="2A6AFC58" w:rsidTr="00780E6A">
        <w:trPr>
          <w:trHeight w:val="278"/>
          <w:jc w:val="center"/>
        </w:trPr>
        <w:tc>
          <w:tcPr>
            <w:tcW w:w="3818" w:type="dxa"/>
            <w:tcBorders>
              <w:top w:val="single" w:sz="2" w:space="0" w:color="auto"/>
              <w:bottom w:val="single" w:sz="2" w:space="0" w:color="auto"/>
            </w:tcBorders>
            <w:shd w:val="clear" w:color="auto" w:fill="DEEAF6" w:themeFill="accent5" w:themeFillTint="33"/>
            <w:noWrap/>
            <w:vAlign w:val="center"/>
            <w:hideMark/>
          </w:tcPr>
          <w:p w14:paraId="62046726" w14:textId="76372B47" w:rsidR="00780E6A" w:rsidRPr="00780E6A" w:rsidRDefault="00780E6A" w:rsidP="00780E6A">
            <w:pPr>
              <w:spacing w:after="0"/>
              <w:rPr>
                <w:rFonts w:cstheme="minorHAnsi"/>
                <w:color w:val="000000"/>
                <w:sz w:val="18"/>
                <w:szCs w:val="18"/>
                <w:lang w:eastAsia="sl-SI"/>
              </w:rPr>
            </w:pPr>
            <w:r w:rsidRPr="00780E6A">
              <w:rPr>
                <w:rFonts w:cstheme="minorHAnsi"/>
                <w:color w:val="000000"/>
                <w:sz w:val="18"/>
                <w:szCs w:val="18"/>
                <w:lang w:eastAsia="sl-SI"/>
              </w:rPr>
              <w:t xml:space="preserve">   - </w:t>
            </w:r>
            <w:proofErr w:type="spellStart"/>
            <w:r w:rsidRPr="00780E6A">
              <w:rPr>
                <w:rFonts w:cstheme="minorHAnsi"/>
                <w:color w:val="000000"/>
                <w:sz w:val="18"/>
                <w:szCs w:val="18"/>
                <w:lang w:eastAsia="sl-SI"/>
              </w:rPr>
              <w:t>zasneževalni</w:t>
            </w:r>
            <w:proofErr w:type="spellEnd"/>
            <w:r w:rsidRPr="00780E6A">
              <w:rPr>
                <w:rFonts w:cstheme="minorHAnsi"/>
                <w:color w:val="000000"/>
                <w:sz w:val="18"/>
                <w:szCs w:val="18"/>
                <w:lang w:eastAsia="sl-SI"/>
              </w:rPr>
              <w:t xml:space="preserve"> sistem </w:t>
            </w:r>
          </w:p>
        </w:tc>
        <w:tc>
          <w:tcPr>
            <w:tcW w:w="2551" w:type="dxa"/>
            <w:tcBorders>
              <w:top w:val="single" w:sz="2" w:space="0" w:color="auto"/>
              <w:bottom w:val="single" w:sz="2" w:space="0" w:color="auto"/>
              <w:right w:val="single" w:sz="2" w:space="0" w:color="auto"/>
            </w:tcBorders>
            <w:shd w:val="clear" w:color="auto" w:fill="DEEAF6" w:themeFill="accent5" w:themeFillTint="33"/>
            <w:noWrap/>
            <w:vAlign w:val="bottom"/>
            <w:hideMark/>
          </w:tcPr>
          <w:p w14:paraId="5DF602B5" w14:textId="493A303D" w:rsidR="00780E6A" w:rsidRPr="00780E6A" w:rsidRDefault="00780E6A" w:rsidP="00780E6A">
            <w:pPr>
              <w:spacing w:after="0"/>
              <w:ind w:right="640"/>
              <w:jc w:val="right"/>
              <w:rPr>
                <w:rFonts w:cstheme="minorHAnsi"/>
                <w:i/>
                <w:iCs/>
                <w:color w:val="000000"/>
                <w:sz w:val="18"/>
                <w:szCs w:val="18"/>
              </w:rPr>
            </w:pPr>
            <w:r w:rsidRPr="00780E6A">
              <w:rPr>
                <w:rFonts w:cstheme="minorHAnsi"/>
                <w:color w:val="000000"/>
                <w:sz w:val="18"/>
                <w:szCs w:val="18"/>
              </w:rPr>
              <w:t>2.500</w:t>
            </w:r>
          </w:p>
        </w:tc>
        <w:tc>
          <w:tcPr>
            <w:tcW w:w="2481" w:type="dxa"/>
            <w:tcBorders>
              <w:top w:val="single" w:sz="2" w:space="0" w:color="auto"/>
              <w:left w:val="single" w:sz="2" w:space="0" w:color="auto"/>
              <w:bottom w:val="single" w:sz="2" w:space="0" w:color="auto"/>
              <w:right w:val="single" w:sz="2" w:space="0" w:color="auto"/>
            </w:tcBorders>
            <w:shd w:val="clear" w:color="auto" w:fill="DEEAF6" w:themeFill="accent5" w:themeFillTint="33"/>
            <w:noWrap/>
            <w:vAlign w:val="bottom"/>
            <w:hideMark/>
          </w:tcPr>
          <w:p w14:paraId="41D2B4CB" w14:textId="7B6A75D2" w:rsidR="00780E6A" w:rsidRPr="00780E6A" w:rsidRDefault="00780E6A" w:rsidP="00780E6A">
            <w:pPr>
              <w:spacing w:after="0"/>
              <w:ind w:right="640"/>
              <w:jc w:val="right"/>
              <w:rPr>
                <w:rFonts w:cstheme="minorHAnsi"/>
                <w:i/>
                <w:iCs/>
                <w:color w:val="000000"/>
                <w:sz w:val="18"/>
                <w:szCs w:val="18"/>
              </w:rPr>
            </w:pPr>
            <w:r w:rsidRPr="00780E6A">
              <w:rPr>
                <w:rFonts w:cstheme="minorHAnsi"/>
                <w:color w:val="000000"/>
                <w:sz w:val="18"/>
                <w:szCs w:val="18"/>
              </w:rPr>
              <w:t>1.500</w:t>
            </w:r>
          </w:p>
        </w:tc>
        <w:tc>
          <w:tcPr>
            <w:tcW w:w="2480" w:type="dxa"/>
            <w:tcBorders>
              <w:top w:val="single" w:sz="2" w:space="0" w:color="auto"/>
              <w:left w:val="single" w:sz="2" w:space="0" w:color="auto"/>
              <w:bottom w:val="single" w:sz="2" w:space="0" w:color="auto"/>
            </w:tcBorders>
            <w:shd w:val="clear" w:color="auto" w:fill="DEEAF6" w:themeFill="accent5" w:themeFillTint="33"/>
            <w:noWrap/>
            <w:vAlign w:val="bottom"/>
            <w:hideMark/>
          </w:tcPr>
          <w:p w14:paraId="4B6E9DD2" w14:textId="5EFF9DA8" w:rsidR="00780E6A" w:rsidRPr="00780E6A" w:rsidRDefault="00780E6A" w:rsidP="00780E6A">
            <w:pPr>
              <w:spacing w:after="0"/>
              <w:ind w:right="640"/>
              <w:jc w:val="right"/>
              <w:rPr>
                <w:rFonts w:cstheme="minorHAnsi"/>
                <w:i/>
                <w:iCs/>
                <w:color w:val="000000"/>
                <w:sz w:val="18"/>
                <w:szCs w:val="18"/>
              </w:rPr>
            </w:pPr>
            <w:r w:rsidRPr="00780E6A">
              <w:rPr>
                <w:rFonts w:cstheme="minorHAnsi"/>
                <w:color w:val="000000"/>
                <w:sz w:val="18"/>
                <w:szCs w:val="18"/>
              </w:rPr>
              <w:t> </w:t>
            </w:r>
          </w:p>
        </w:tc>
        <w:tc>
          <w:tcPr>
            <w:tcW w:w="2481" w:type="dxa"/>
            <w:tcBorders>
              <w:top w:val="single" w:sz="2" w:space="0" w:color="auto"/>
              <w:bottom w:val="single" w:sz="2" w:space="0" w:color="auto"/>
            </w:tcBorders>
            <w:shd w:val="clear" w:color="auto" w:fill="DEEAF6" w:themeFill="accent5" w:themeFillTint="33"/>
            <w:vAlign w:val="bottom"/>
          </w:tcPr>
          <w:p w14:paraId="655F8625" w14:textId="0E5545FD" w:rsidR="00780E6A" w:rsidRPr="00780E6A" w:rsidRDefault="00780E6A" w:rsidP="00780E6A">
            <w:pPr>
              <w:spacing w:after="0"/>
              <w:ind w:right="640"/>
              <w:jc w:val="right"/>
              <w:rPr>
                <w:rFonts w:cstheme="minorHAnsi"/>
                <w:i/>
                <w:iCs/>
                <w:color w:val="000000"/>
                <w:sz w:val="18"/>
                <w:szCs w:val="18"/>
              </w:rPr>
            </w:pPr>
            <w:r w:rsidRPr="00780E6A">
              <w:rPr>
                <w:rFonts w:cstheme="minorHAnsi"/>
                <w:b/>
                <w:bCs/>
                <w:color w:val="000000"/>
                <w:sz w:val="18"/>
                <w:szCs w:val="18"/>
              </w:rPr>
              <w:t>4.000</w:t>
            </w:r>
          </w:p>
        </w:tc>
      </w:tr>
      <w:tr w:rsidR="00780E6A" w:rsidRPr="00780E6A" w14:paraId="1A9F9FA6" w14:textId="1CAA32E7" w:rsidTr="00780E6A">
        <w:trPr>
          <w:trHeight w:val="278"/>
          <w:jc w:val="center"/>
        </w:trPr>
        <w:tc>
          <w:tcPr>
            <w:tcW w:w="3818" w:type="dxa"/>
            <w:tcBorders>
              <w:top w:val="single" w:sz="2" w:space="0" w:color="auto"/>
              <w:bottom w:val="single" w:sz="2" w:space="0" w:color="auto"/>
            </w:tcBorders>
            <w:shd w:val="clear" w:color="auto" w:fill="DEEAF6" w:themeFill="accent5" w:themeFillTint="33"/>
            <w:noWrap/>
            <w:vAlign w:val="center"/>
            <w:hideMark/>
          </w:tcPr>
          <w:p w14:paraId="16A680D1" w14:textId="1211702B" w:rsidR="00780E6A" w:rsidRPr="00780E6A" w:rsidRDefault="00780E6A" w:rsidP="00780E6A">
            <w:pPr>
              <w:spacing w:after="0"/>
              <w:rPr>
                <w:rFonts w:cstheme="minorHAnsi"/>
                <w:color w:val="000000"/>
                <w:sz w:val="18"/>
                <w:szCs w:val="18"/>
                <w:lang w:eastAsia="sl-SI"/>
              </w:rPr>
            </w:pPr>
            <w:r w:rsidRPr="00780E6A">
              <w:rPr>
                <w:rFonts w:cstheme="minorHAnsi"/>
                <w:color w:val="000000"/>
                <w:sz w:val="18"/>
                <w:szCs w:val="18"/>
                <w:lang w:eastAsia="sl-SI"/>
              </w:rPr>
              <w:t xml:space="preserve">   - snežni teptalci, motorne sani </w:t>
            </w:r>
          </w:p>
        </w:tc>
        <w:tc>
          <w:tcPr>
            <w:tcW w:w="2551" w:type="dxa"/>
            <w:tcBorders>
              <w:top w:val="single" w:sz="2" w:space="0" w:color="auto"/>
              <w:bottom w:val="single" w:sz="2" w:space="0" w:color="auto"/>
              <w:right w:val="single" w:sz="2" w:space="0" w:color="auto"/>
            </w:tcBorders>
            <w:shd w:val="clear" w:color="auto" w:fill="DEEAF6" w:themeFill="accent5" w:themeFillTint="33"/>
            <w:noWrap/>
            <w:vAlign w:val="bottom"/>
            <w:hideMark/>
          </w:tcPr>
          <w:p w14:paraId="0CA88BB3" w14:textId="2F4C422A" w:rsidR="00780E6A" w:rsidRPr="00780E6A" w:rsidRDefault="00780E6A" w:rsidP="00780E6A">
            <w:pPr>
              <w:spacing w:after="0"/>
              <w:ind w:right="640"/>
              <w:jc w:val="right"/>
              <w:rPr>
                <w:rFonts w:cstheme="minorHAnsi"/>
                <w:i/>
                <w:iCs/>
                <w:color w:val="000000"/>
                <w:sz w:val="18"/>
                <w:szCs w:val="18"/>
              </w:rPr>
            </w:pPr>
            <w:r w:rsidRPr="00780E6A">
              <w:rPr>
                <w:rFonts w:cstheme="minorHAnsi"/>
                <w:color w:val="000000"/>
                <w:sz w:val="18"/>
                <w:szCs w:val="18"/>
              </w:rPr>
              <w:t>7.500</w:t>
            </w:r>
          </w:p>
        </w:tc>
        <w:tc>
          <w:tcPr>
            <w:tcW w:w="2481" w:type="dxa"/>
            <w:tcBorders>
              <w:top w:val="single" w:sz="2" w:space="0" w:color="auto"/>
              <w:left w:val="single" w:sz="2" w:space="0" w:color="auto"/>
              <w:bottom w:val="single" w:sz="2" w:space="0" w:color="auto"/>
              <w:right w:val="single" w:sz="2" w:space="0" w:color="auto"/>
            </w:tcBorders>
            <w:shd w:val="clear" w:color="auto" w:fill="DEEAF6" w:themeFill="accent5" w:themeFillTint="33"/>
            <w:noWrap/>
            <w:vAlign w:val="bottom"/>
            <w:hideMark/>
          </w:tcPr>
          <w:p w14:paraId="3904073A" w14:textId="74ACE44E" w:rsidR="00780E6A" w:rsidRPr="00780E6A" w:rsidRDefault="00780E6A" w:rsidP="00780E6A">
            <w:pPr>
              <w:spacing w:after="0"/>
              <w:ind w:right="640"/>
              <w:jc w:val="right"/>
              <w:rPr>
                <w:rFonts w:cstheme="minorHAnsi"/>
                <w:i/>
                <w:iCs/>
                <w:color w:val="000000"/>
                <w:sz w:val="18"/>
                <w:szCs w:val="18"/>
              </w:rPr>
            </w:pPr>
            <w:r w:rsidRPr="00780E6A">
              <w:rPr>
                <w:rFonts w:cstheme="minorHAnsi"/>
                <w:color w:val="000000"/>
                <w:sz w:val="18"/>
                <w:szCs w:val="18"/>
              </w:rPr>
              <w:t> </w:t>
            </w:r>
          </w:p>
        </w:tc>
        <w:tc>
          <w:tcPr>
            <w:tcW w:w="2480" w:type="dxa"/>
            <w:tcBorders>
              <w:top w:val="single" w:sz="2" w:space="0" w:color="auto"/>
              <w:left w:val="single" w:sz="2" w:space="0" w:color="auto"/>
              <w:bottom w:val="single" w:sz="2" w:space="0" w:color="auto"/>
            </w:tcBorders>
            <w:shd w:val="clear" w:color="auto" w:fill="DEEAF6" w:themeFill="accent5" w:themeFillTint="33"/>
            <w:noWrap/>
            <w:vAlign w:val="bottom"/>
            <w:hideMark/>
          </w:tcPr>
          <w:p w14:paraId="6A96148F" w14:textId="77CB4535" w:rsidR="00780E6A" w:rsidRPr="00780E6A" w:rsidRDefault="00780E6A" w:rsidP="00780E6A">
            <w:pPr>
              <w:spacing w:after="0"/>
              <w:ind w:right="640"/>
              <w:jc w:val="right"/>
              <w:rPr>
                <w:rFonts w:cstheme="minorHAnsi"/>
                <w:i/>
                <w:iCs/>
                <w:color w:val="000000"/>
                <w:sz w:val="18"/>
                <w:szCs w:val="18"/>
              </w:rPr>
            </w:pPr>
            <w:r w:rsidRPr="00780E6A">
              <w:rPr>
                <w:rFonts w:cstheme="minorHAnsi"/>
                <w:color w:val="000000"/>
                <w:sz w:val="18"/>
                <w:szCs w:val="18"/>
              </w:rPr>
              <w:t>2.500</w:t>
            </w:r>
          </w:p>
        </w:tc>
        <w:tc>
          <w:tcPr>
            <w:tcW w:w="2481" w:type="dxa"/>
            <w:tcBorders>
              <w:top w:val="single" w:sz="2" w:space="0" w:color="auto"/>
              <w:bottom w:val="single" w:sz="2" w:space="0" w:color="auto"/>
            </w:tcBorders>
            <w:shd w:val="clear" w:color="auto" w:fill="DEEAF6" w:themeFill="accent5" w:themeFillTint="33"/>
            <w:vAlign w:val="bottom"/>
          </w:tcPr>
          <w:p w14:paraId="486F8C41" w14:textId="26891104" w:rsidR="00780E6A" w:rsidRPr="00780E6A" w:rsidRDefault="00780E6A" w:rsidP="00780E6A">
            <w:pPr>
              <w:spacing w:after="0"/>
              <w:ind w:right="640"/>
              <w:jc w:val="right"/>
              <w:rPr>
                <w:rFonts w:cstheme="minorHAnsi"/>
                <w:i/>
                <w:iCs/>
                <w:color w:val="000000"/>
                <w:sz w:val="18"/>
                <w:szCs w:val="18"/>
              </w:rPr>
            </w:pPr>
            <w:r w:rsidRPr="00780E6A">
              <w:rPr>
                <w:rFonts w:cstheme="minorHAnsi"/>
                <w:b/>
                <w:bCs/>
                <w:color w:val="000000"/>
                <w:sz w:val="18"/>
                <w:szCs w:val="18"/>
              </w:rPr>
              <w:t>10.000</w:t>
            </w:r>
          </w:p>
        </w:tc>
      </w:tr>
      <w:tr w:rsidR="00780E6A" w:rsidRPr="00780E6A" w14:paraId="496FACDF" w14:textId="7A646643" w:rsidTr="00780E6A">
        <w:trPr>
          <w:trHeight w:val="278"/>
          <w:jc w:val="center"/>
        </w:trPr>
        <w:tc>
          <w:tcPr>
            <w:tcW w:w="3818" w:type="dxa"/>
            <w:tcBorders>
              <w:top w:val="single" w:sz="2" w:space="0" w:color="auto"/>
              <w:bottom w:val="single" w:sz="2" w:space="0" w:color="auto"/>
            </w:tcBorders>
            <w:shd w:val="clear" w:color="auto" w:fill="DEEAF6" w:themeFill="accent5" w:themeFillTint="33"/>
            <w:noWrap/>
            <w:vAlign w:val="center"/>
            <w:hideMark/>
          </w:tcPr>
          <w:p w14:paraId="78BC53C8" w14:textId="77777777" w:rsidR="00780E6A" w:rsidRPr="00780E6A" w:rsidRDefault="00780E6A" w:rsidP="00780E6A">
            <w:pPr>
              <w:spacing w:after="0"/>
              <w:rPr>
                <w:rFonts w:cstheme="minorHAnsi"/>
                <w:color w:val="000000"/>
                <w:sz w:val="18"/>
                <w:szCs w:val="18"/>
                <w:lang w:eastAsia="sl-SI"/>
              </w:rPr>
            </w:pPr>
            <w:r w:rsidRPr="00780E6A">
              <w:rPr>
                <w:rFonts w:cstheme="minorHAnsi"/>
                <w:color w:val="000000"/>
                <w:sz w:val="18"/>
                <w:szCs w:val="18"/>
                <w:lang w:eastAsia="sl-SI"/>
              </w:rPr>
              <w:t>   - tehnični pregled in dovoljenje za obratovanje</w:t>
            </w:r>
          </w:p>
        </w:tc>
        <w:tc>
          <w:tcPr>
            <w:tcW w:w="2551" w:type="dxa"/>
            <w:tcBorders>
              <w:top w:val="single" w:sz="2" w:space="0" w:color="auto"/>
              <w:bottom w:val="single" w:sz="2" w:space="0" w:color="auto"/>
              <w:right w:val="single" w:sz="2" w:space="0" w:color="auto"/>
            </w:tcBorders>
            <w:shd w:val="clear" w:color="auto" w:fill="DEEAF6" w:themeFill="accent5" w:themeFillTint="33"/>
            <w:noWrap/>
            <w:vAlign w:val="bottom"/>
            <w:hideMark/>
          </w:tcPr>
          <w:p w14:paraId="6BE70D80" w14:textId="0FE4D2AC" w:rsidR="00780E6A" w:rsidRPr="00780E6A" w:rsidRDefault="00780E6A" w:rsidP="00780E6A">
            <w:pPr>
              <w:spacing w:after="0"/>
              <w:ind w:right="640"/>
              <w:jc w:val="right"/>
              <w:rPr>
                <w:rFonts w:cstheme="minorHAnsi"/>
                <w:i/>
                <w:iCs/>
                <w:color w:val="000000"/>
                <w:sz w:val="18"/>
                <w:szCs w:val="18"/>
              </w:rPr>
            </w:pPr>
            <w:r w:rsidRPr="00780E6A">
              <w:rPr>
                <w:rFonts w:cstheme="minorHAnsi"/>
                <w:color w:val="000000"/>
                <w:sz w:val="18"/>
                <w:szCs w:val="18"/>
              </w:rPr>
              <w:t>4.500</w:t>
            </w:r>
          </w:p>
        </w:tc>
        <w:tc>
          <w:tcPr>
            <w:tcW w:w="2481" w:type="dxa"/>
            <w:tcBorders>
              <w:top w:val="single" w:sz="2" w:space="0" w:color="auto"/>
              <w:left w:val="single" w:sz="2" w:space="0" w:color="auto"/>
              <w:bottom w:val="single" w:sz="2" w:space="0" w:color="auto"/>
              <w:right w:val="single" w:sz="2" w:space="0" w:color="auto"/>
            </w:tcBorders>
            <w:shd w:val="clear" w:color="auto" w:fill="DEEAF6" w:themeFill="accent5" w:themeFillTint="33"/>
            <w:noWrap/>
            <w:vAlign w:val="bottom"/>
            <w:hideMark/>
          </w:tcPr>
          <w:p w14:paraId="19FDCC6E" w14:textId="466FBF0E" w:rsidR="00780E6A" w:rsidRPr="00780E6A" w:rsidRDefault="00780E6A" w:rsidP="00780E6A">
            <w:pPr>
              <w:spacing w:after="0"/>
              <w:ind w:right="640"/>
              <w:jc w:val="right"/>
              <w:rPr>
                <w:rFonts w:cstheme="minorHAnsi"/>
                <w:i/>
                <w:iCs/>
                <w:color w:val="000000"/>
                <w:sz w:val="18"/>
                <w:szCs w:val="18"/>
              </w:rPr>
            </w:pPr>
            <w:r w:rsidRPr="00780E6A">
              <w:rPr>
                <w:rFonts w:cstheme="minorHAnsi"/>
                <w:color w:val="000000"/>
                <w:sz w:val="18"/>
                <w:szCs w:val="18"/>
              </w:rPr>
              <w:t> </w:t>
            </w:r>
          </w:p>
        </w:tc>
        <w:tc>
          <w:tcPr>
            <w:tcW w:w="2480" w:type="dxa"/>
            <w:tcBorders>
              <w:top w:val="single" w:sz="2" w:space="0" w:color="auto"/>
              <w:left w:val="single" w:sz="2" w:space="0" w:color="auto"/>
              <w:bottom w:val="single" w:sz="2" w:space="0" w:color="auto"/>
            </w:tcBorders>
            <w:shd w:val="clear" w:color="auto" w:fill="DEEAF6" w:themeFill="accent5" w:themeFillTint="33"/>
            <w:noWrap/>
            <w:vAlign w:val="bottom"/>
            <w:hideMark/>
          </w:tcPr>
          <w:p w14:paraId="38986536" w14:textId="775E2A5A" w:rsidR="00780E6A" w:rsidRPr="00780E6A" w:rsidRDefault="00780E6A" w:rsidP="00780E6A">
            <w:pPr>
              <w:spacing w:after="0"/>
              <w:ind w:right="640"/>
              <w:jc w:val="right"/>
              <w:rPr>
                <w:rFonts w:cstheme="minorHAnsi"/>
                <w:i/>
                <w:iCs/>
                <w:color w:val="000000"/>
                <w:sz w:val="18"/>
                <w:szCs w:val="18"/>
              </w:rPr>
            </w:pPr>
            <w:r w:rsidRPr="00780E6A">
              <w:rPr>
                <w:rFonts w:cstheme="minorHAnsi"/>
                <w:color w:val="000000"/>
                <w:sz w:val="18"/>
                <w:szCs w:val="18"/>
              </w:rPr>
              <w:t> </w:t>
            </w:r>
          </w:p>
        </w:tc>
        <w:tc>
          <w:tcPr>
            <w:tcW w:w="2481" w:type="dxa"/>
            <w:tcBorders>
              <w:top w:val="single" w:sz="2" w:space="0" w:color="auto"/>
              <w:bottom w:val="single" w:sz="2" w:space="0" w:color="auto"/>
            </w:tcBorders>
            <w:shd w:val="clear" w:color="auto" w:fill="DEEAF6" w:themeFill="accent5" w:themeFillTint="33"/>
            <w:vAlign w:val="bottom"/>
          </w:tcPr>
          <w:p w14:paraId="78B41192" w14:textId="744A24C4" w:rsidR="00780E6A" w:rsidRPr="00780E6A" w:rsidRDefault="00780E6A" w:rsidP="00780E6A">
            <w:pPr>
              <w:spacing w:after="0"/>
              <w:ind w:right="640"/>
              <w:jc w:val="right"/>
              <w:rPr>
                <w:rFonts w:cstheme="minorHAnsi"/>
                <w:i/>
                <w:iCs/>
                <w:color w:val="000000"/>
                <w:sz w:val="18"/>
                <w:szCs w:val="18"/>
              </w:rPr>
            </w:pPr>
            <w:r w:rsidRPr="00780E6A">
              <w:rPr>
                <w:rFonts w:cstheme="minorHAnsi"/>
                <w:b/>
                <w:bCs/>
                <w:color w:val="000000"/>
                <w:sz w:val="18"/>
                <w:szCs w:val="18"/>
              </w:rPr>
              <w:t>4.500</w:t>
            </w:r>
          </w:p>
        </w:tc>
      </w:tr>
      <w:tr w:rsidR="00780E6A" w:rsidRPr="00780E6A" w14:paraId="450F9B51" w14:textId="2F130A59" w:rsidTr="00780E6A">
        <w:trPr>
          <w:trHeight w:val="278"/>
          <w:jc w:val="center"/>
        </w:trPr>
        <w:tc>
          <w:tcPr>
            <w:tcW w:w="3818" w:type="dxa"/>
            <w:tcBorders>
              <w:top w:val="single" w:sz="2" w:space="0" w:color="auto"/>
            </w:tcBorders>
            <w:shd w:val="clear" w:color="auto" w:fill="DEEAF6" w:themeFill="accent5" w:themeFillTint="33"/>
            <w:noWrap/>
            <w:vAlign w:val="center"/>
            <w:hideMark/>
          </w:tcPr>
          <w:p w14:paraId="5C47C233" w14:textId="77777777" w:rsidR="00780E6A" w:rsidRPr="00780E6A" w:rsidRDefault="00780E6A" w:rsidP="00780E6A">
            <w:pPr>
              <w:spacing w:after="0"/>
              <w:rPr>
                <w:rFonts w:cstheme="minorHAnsi"/>
                <w:color w:val="000000"/>
                <w:sz w:val="18"/>
                <w:szCs w:val="18"/>
                <w:lang w:eastAsia="sl-SI"/>
              </w:rPr>
            </w:pPr>
            <w:r w:rsidRPr="00780E6A">
              <w:rPr>
                <w:rFonts w:cstheme="minorHAnsi"/>
                <w:color w:val="000000"/>
                <w:sz w:val="18"/>
                <w:szCs w:val="18"/>
                <w:lang w:eastAsia="sl-SI"/>
              </w:rPr>
              <w:t xml:space="preserve">   - ostalo  </w:t>
            </w:r>
          </w:p>
        </w:tc>
        <w:tc>
          <w:tcPr>
            <w:tcW w:w="2551" w:type="dxa"/>
            <w:tcBorders>
              <w:top w:val="single" w:sz="2" w:space="0" w:color="auto"/>
              <w:right w:val="single" w:sz="2" w:space="0" w:color="auto"/>
            </w:tcBorders>
            <w:shd w:val="clear" w:color="auto" w:fill="DEEAF6" w:themeFill="accent5" w:themeFillTint="33"/>
            <w:noWrap/>
            <w:vAlign w:val="bottom"/>
            <w:hideMark/>
          </w:tcPr>
          <w:p w14:paraId="47F1FA8A" w14:textId="2A6AEE45" w:rsidR="00780E6A" w:rsidRPr="00780E6A" w:rsidRDefault="00780E6A" w:rsidP="00780E6A">
            <w:pPr>
              <w:spacing w:after="0"/>
              <w:ind w:right="640"/>
              <w:jc w:val="right"/>
              <w:rPr>
                <w:rFonts w:cstheme="minorHAnsi"/>
                <w:i/>
                <w:iCs/>
                <w:color w:val="000000"/>
                <w:sz w:val="18"/>
                <w:szCs w:val="18"/>
              </w:rPr>
            </w:pPr>
            <w:r w:rsidRPr="00780E6A">
              <w:rPr>
                <w:rFonts w:cstheme="minorHAnsi"/>
                <w:color w:val="000000"/>
                <w:sz w:val="18"/>
                <w:szCs w:val="18"/>
              </w:rPr>
              <w:t> </w:t>
            </w:r>
          </w:p>
        </w:tc>
        <w:tc>
          <w:tcPr>
            <w:tcW w:w="2481" w:type="dxa"/>
            <w:tcBorders>
              <w:top w:val="single" w:sz="2" w:space="0" w:color="auto"/>
              <w:left w:val="single" w:sz="2" w:space="0" w:color="auto"/>
              <w:right w:val="single" w:sz="2" w:space="0" w:color="auto"/>
            </w:tcBorders>
            <w:shd w:val="clear" w:color="auto" w:fill="DEEAF6" w:themeFill="accent5" w:themeFillTint="33"/>
            <w:noWrap/>
            <w:vAlign w:val="bottom"/>
            <w:hideMark/>
          </w:tcPr>
          <w:p w14:paraId="29255C12" w14:textId="3524C6EE" w:rsidR="00780E6A" w:rsidRPr="00780E6A" w:rsidRDefault="00780E6A" w:rsidP="00780E6A">
            <w:pPr>
              <w:spacing w:after="0"/>
              <w:ind w:right="640"/>
              <w:jc w:val="right"/>
              <w:rPr>
                <w:rFonts w:cstheme="minorHAnsi"/>
                <w:i/>
                <w:iCs/>
                <w:color w:val="000000"/>
                <w:sz w:val="18"/>
                <w:szCs w:val="18"/>
              </w:rPr>
            </w:pPr>
            <w:r w:rsidRPr="00780E6A">
              <w:rPr>
                <w:rFonts w:cstheme="minorHAnsi"/>
                <w:color w:val="000000"/>
                <w:sz w:val="18"/>
                <w:szCs w:val="18"/>
              </w:rPr>
              <w:t> </w:t>
            </w:r>
          </w:p>
        </w:tc>
        <w:tc>
          <w:tcPr>
            <w:tcW w:w="2480" w:type="dxa"/>
            <w:tcBorders>
              <w:top w:val="single" w:sz="2" w:space="0" w:color="auto"/>
              <w:left w:val="single" w:sz="2" w:space="0" w:color="auto"/>
            </w:tcBorders>
            <w:shd w:val="clear" w:color="auto" w:fill="DEEAF6" w:themeFill="accent5" w:themeFillTint="33"/>
            <w:noWrap/>
            <w:vAlign w:val="bottom"/>
            <w:hideMark/>
          </w:tcPr>
          <w:p w14:paraId="1949F383" w14:textId="46418978" w:rsidR="00780E6A" w:rsidRPr="00780E6A" w:rsidRDefault="00780E6A" w:rsidP="00780E6A">
            <w:pPr>
              <w:spacing w:after="0"/>
              <w:ind w:right="640"/>
              <w:jc w:val="right"/>
              <w:rPr>
                <w:rFonts w:cstheme="minorHAnsi"/>
                <w:i/>
                <w:iCs/>
                <w:color w:val="000000"/>
                <w:sz w:val="18"/>
                <w:szCs w:val="18"/>
              </w:rPr>
            </w:pPr>
            <w:r w:rsidRPr="00780E6A">
              <w:rPr>
                <w:rFonts w:cstheme="minorHAnsi"/>
                <w:color w:val="000000"/>
                <w:sz w:val="18"/>
                <w:szCs w:val="18"/>
              </w:rPr>
              <w:t> </w:t>
            </w:r>
          </w:p>
        </w:tc>
        <w:tc>
          <w:tcPr>
            <w:tcW w:w="2481" w:type="dxa"/>
            <w:tcBorders>
              <w:top w:val="single" w:sz="2" w:space="0" w:color="auto"/>
            </w:tcBorders>
            <w:shd w:val="clear" w:color="auto" w:fill="DEEAF6" w:themeFill="accent5" w:themeFillTint="33"/>
            <w:vAlign w:val="bottom"/>
          </w:tcPr>
          <w:p w14:paraId="0880B900" w14:textId="4A0FD6F0" w:rsidR="00780E6A" w:rsidRPr="00780E6A" w:rsidRDefault="00780E6A" w:rsidP="00780E6A">
            <w:pPr>
              <w:spacing w:after="0"/>
              <w:ind w:right="640"/>
              <w:jc w:val="right"/>
              <w:rPr>
                <w:rFonts w:cstheme="minorHAnsi"/>
                <w:i/>
                <w:iCs/>
                <w:color w:val="000000"/>
                <w:sz w:val="18"/>
                <w:szCs w:val="18"/>
              </w:rPr>
            </w:pPr>
            <w:r w:rsidRPr="00780E6A">
              <w:rPr>
                <w:rFonts w:cstheme="minorHAnsi"/>
                <w:b/>
                <w:bCs/>
                <w:color w:val="000000"/>
                <w:sz w:val="18"/>
                <w:szCs w:val="18"/>
              </w:rPr>
              <w:t>0</w:t>
            </w:r>
          </w:p>
        </w:tc>
      </w:tr>
      <w:tr w:rsidR="00780E6A" w:rsidRPr="00780E6A" w14:paraId="576D6C00" w14:textId="4D45DF1C" w:rsidTr="00780E6A">
        <w:trPr>
          <w:trHeight w:val="278"/>
          <w:jc w:val="center"/>
        </w:trPr>
        <w:tc>
          <w:tcPr>
            <w:tcW w:w="3818" w:type="dxa"/>
            <w:shd w:val="clear" w:color="auto" w:fill="9CC2E5" w:themeFill="accent5" w:themeFillTint="99"/>
            <w:noWrap/>
            <w:vAlign w:val="center"/>
            <w:hideMark/>
          </w:tcPr>
          <w:p w14:paraId="02C64B25" w14:textId="77777777" w:rsidR="00780E6A" w:rsidRPr="00780E6A" w:rsidRDefault="00780E6A" w:rsidP="00780E6A">
            <w:pPr>
              <w:spacing w:after="0"/>
              <w:rPr>
                <w:rFonts w:cstheme="minorHAnsi"/>
                <w:color w:val="000000"/>
                <w:lang w:eastAsia="sl-SI"/>
              </w:rPr>
            </w:pPr>
            <w:r w:rsidRPr="00780E6A">
              <w:rPr>
                <w:rFonts w:cstheme="minorHAnsi"/>
                <w:color w:val="000000"/>
                <w:lang w:eastAsia="sl-SI"/>
              </w:rPr>
              <w:t>2. Stroški elektrike</w:t>
            </w:r>
          </w:p>
        </w:tc>
        <w:tc>
          <w:tcPr>
            <w:tcW w:w="2551" w:type="dxa"/>
            <w:tcBorders>
              <w:right w:val="single" w:sz="2" w:space="0" w:color="auto"/>
            </w:tcBorders>
            <w:shd w:val="clear" w:color="auto" w:fill="9CC2E5" w:themeFill="accent5" w:themeFillTint="99"/>
            <w:noWrap/>
            <w:vAlign w:val="bottom"/>
            <w:hideMark/>
          </w:tcPr>
          <w:p w14:paraId="0C3D8051" w14:textId="3C95ED35" w:rsidR="00780E6A" w:rsidRPr="00780E6A" w:rsidRDefault="00780E6A" w:rsidP="00780E6A">
            <w:pPr>
              <w:spacing w:after="0"/>
              <w:ind w:right="640"/>
              <w:jc w:val="right"/>
              <w:rPr>
                <w:rFonts w:cstheme="minorHAnsi"/>
                <w:color w:val="000000"/>
              </w:rPr>
            </w:pPr>
            <w:r w:rsidRPr="00780E6A">
              <w:rPr>
                <w:rFonts w:cstheme="minorHAnsi"/>
                <w:color w:val="000000"/>
              </w:rPr>
              <w:t>10.000</w:t>
            </w:r>
          </w:p>
        </w:tc>
        <w:tc>
          <w:tcPr>
            <w:tcW w:w="2481" w:type="dxa"/>
            <w:tcBorders>
              <w:left w:val="single" w:sz="2" w:space="0" w:color="auto"/>
              <w:right w:val="single" w:sz="2" w:space="0" w:color="auto"/>
            </w:tcBorders>
            <w:shd w:val="clear" w:color="auto" w:fill="9CC2E5" w:themeFill="accent5" w:themeFillTint="99"/>
            <w:noWrap/>
            <w:vAlign w:val="bottom"/>
            <w:hideMark/>
          </w:tcPr>
          <w:p w14:paraId="2E706DE9" w14:textId="1A793506" w:rsidR="00780E6A" w:rsidRPr="00780E6A" w:rsidRDefault="00780E6A" w:rsidP="00780E6A">
            <w:pPr>
              <w:spacing w:after="0"/>
              <w:ind w:right="640"/>
              <w:jc w:val="right"/>
              <w:rPr>
                <w:rFonts w:cstheme="minorHAnsi"/>
                <w:color w:val="000000"/>
              </w:rPr>
            </w:pPr>
            <w:r w:rsidRPr="00780E6A">
              <w:rPr>
                <w:rFonts w:cstheme="minorHAnsi"/>
                <w:color w:val="000000"/>
              </w:rPr>
              <w:t>50.000</w:t>
            </w:r>
          </w:p>
        </w:tc>
        <w:tc>
          <w:tcPr>
            <w:tcW w:w="2480" w:type="dxa"/>
            <w:tcBorders>
              <w:left w:val="single" w:sz="2" w:space="0" w:color="auto"/>
            </w:tcBorders>
            <w:shd w:val="clear" w:color="auto" w:fill="9CC2E5" w:themeFill="accent5" w:themeFillTint="99"/>
            <w:noWrap/>
            <w:vAlign w:val="bottom"/>
            <w:hideMark/>
          </w:tcPr>
          <w:p w14:paraId="2A353CE2" w14:textId="489E9C96" w:rsidR="00780E6A" w:rsidRPr="00780E6A" w:rsidRDefault="00780E6A" w:rsidP="00780E6A">
            <w:pPr>
              <w:spacing w:after="0"/>
              <w:ind w:right="640"/>
              <w:jc w:val="right"/>
              <w:rPr>
                <w:rFonts w:cstheme="minorHAnsi"/>
                <w:color w:val="000000"/>
              </w:rPr>
            </w:pPr>
            <w:r w:rsidRPr="00780E6A">
              <w:rPr>
                <w:rFonts w:cstheme="minorHAnsi"/>
                <w:color w:val="000000"/>
              </w:rPr>
              <w:t>15.000</w:t>
            </w:r>
          </w:p>
        </w:tc>
        <w:tc>
          <w:tcPr>
            <w:tcW w:w="2481" w:type="dxa"/>
            <w:shd w:val="clear" w:color="auto" w:fill="9CC2E5" w:themeFill="accent5" w:themeFillTint="99"/>
            <w:vAlign w:val="bottom"/>
          </w:tcPr>
          <w:p w14:paraId="0C8D1229" w14:textId="355E0299" w:rsidR="00780E6A" w:rsidRPr="00780E6A" w:rsidRDefault="00780E6A" w:rsidP="00780E6A">
            <w:pPr>
              <w:spacing w:after="0"/>
              <w:ind w:right="640"/>
              <w:jc w:val="right"/>
              <w:rPr>
                <w:rFonts w:cstheme="minorHAnsi"/>
                <w:color w:val="000000"/>
              </w:rPr>
            </w:pPr>
            <w:r w:rsidRPr="00780E6A">
              <w:rPr>
                <w:rFonts w:cstheme="minorHAnsi"/>
                <w:b/>
                <w:bCs/>
                <w:color w:val="000000"/>
              </w:rPr>
              <w:t>75.000</w:t>
            </w:r>
          </w:p>
        </w:tc>
      </w:tr>
      <w:tr w:rsidR="00780E6A" w:rsidRPr="00780E6A" w14:paraId="7F77BE9C" w14:textId="1AFE7255" w:rsidTr="00780E6A">
        <w:trPr>
          <w:trHeight w:val="278"/>
          <w:jc w:val="center"/>
        </w:trPr>
        <w:tc>
          <w:tcPr>
            <w:tcW w:w="3818" w:type="dxa"/>
            <w:shd w:val="clear" w:color="auto" w:fill="DEEAF6" w:themeFill="accent5" w:themeFillTint="33"/>
            <w:noWrap/>
            <w:vAlign w:val="center"/>
            <w:hideMark/>
          </w:tcPr>
          <w:p w14:paraId="1BD51F8B" w14:textId="18636422" w:rsidR="00780E6A" w:rsidRPr="00780E6A" w:rsidRDefault="00780E6A" w:rsidP="00780E6A">
            <w:pPr>
              <w:spacing w:after="0"/>
              <w:rPr>
                <w:rFonts w:cstheme="minorHAnsi"/>
                <w:color w:val="000000"/>
                <w:lang w:eastAsia="sl-SI"/>
              </w:rPr>
            </w:pPr>
            <w:r w:rsidRPr="00780E6A">
              <w:rPr>
                <w:rFonts w:cstheme="minorHAnsi"/>
                <w:color w:val="000000"/>
                <w:lang w:eastAsia="sl-SI"/>
              </w:rPr>
              <w:t>3. Stroški goriva – teptalni s., motorne s.</w:t>
            </w:r>
          </w:p>
        </w:tc>
        <w:tc>
          <w:tcPr>
            <w:tcW w:w="2551" w:type="dxa"/>
            <w:tcBorders>
              <w:right w:val="single" w:sz="2" w:space="0" w:color="auto"/>
            </w:tcBorders>
            <w:shd w:val="clear" w:color="auto" w:fill="DEEAF6" w:themeFill="accent5" w:themeFillTint="33"/>
            <w:noWrap/>
            <w:vAlign w:val="bottom"/>
            <w:hideMark/>
          </w:tcPr>
          <w:p w14:paraId="5A27EA11" w14:textId="10DC15D6" w:rsidR="00780E6A" w:rsidRPr="00780E6A" w:rsidRDefault="00780E6A" w:rsidP="00780E6A">
            <w:pPr>
              <w:spacing w:after="0"/>
              <w:ind w:right="640"/>
              <w:jc w:val="right"/>
              <w:rPr>
                <w:rFonts w:cstheme="minorHAnsi"/>
                <w:color w:val="000000"/>
              </w:rPr>
            </w:pPr>
            <w:r w:rsidRPr="00780E6A">
              <w:rPr>
                <w:rFonts w:cstheme="minorHAnsi"/>
                <w:color w:val="000000"/>
              </w:rPr>
              <w:t> </w:t>
            </w:r>
          </w:p>
        </w:tc>
        <w:tc>
          <w:tcPr>
            <w:tcW w:w="2481" w:type="dxa"/>
            <w:tcBorders>
              <w:left w:val="single" w:sz="2" w:space="0" w:color="auto"/>
              <w:right w:val="single" w:sz="2" w:space="0" w:color="auto"/>
            </w:tcBorders>
            <w:shd w:val="clear" w:color="auto" w:fill="DEEAF6" w:themeFill="accent5" w:themeFillTint="33"/>
            <w:noWrap/>
            <w:vAlign w:val="bottom"/>
            <w:hideMark/>
          </w:tcPr>
          <w:p w14:paraId="484B6E75" w14:textId="021B0D13" w:rsidR="00780E6A" w:rsidRPr="00780E6A" w:rsidRDefault="00780E6A" w:rsidP="00780E6A">
            <w:pPr>
              <w:spacing w:after="0"/>
              <w:ind w:right="640"/>
              <w:jc w:val="right"/>
              <w:rPr>
                <w:rFonts w:cstheme="minorHAnsi"/>
                <w:color w:val="000000"/>
              </w:rPr>
            </w:pPr>
            <w:r w:rsidRPr="00780E6A">
              <w:rPr>
                <w:rFonts w:cstheme="minorHAnsi"/>
                <w:color w:val="000000"/>
              </w:rPr>
              <w:t>2.000</w:t>
            </w:r>
          </w:p>
        </w:tc>
        <w:tc>
          <w:tcPr>
            <w:tcW w:w="2480" w:type="dxa"/>
            <w:tcBorders>
              <w:left w:val="single" w:sz="2" w:space="0" w:color="auto"/>
            </w:tcBorders>
            <w:shd w:val="clear" w:color="auto" w:fill="DEEAF6" w:themeFill="accent5" w:themeFillTint="33"/>
            <w:noWrap/>
            <w:vAlign w:val="bottom"/>
            <w:hideMark/>
          </w:tcPr>
          <w:p w14:paraId="10D96802" w14:textId="0E8B0C82" w:rsidR="00780E6A" w:rsidRPr="00780E6A" w:rsidRDefault="00780E6A" w:rsidP="00780E6A">
            <w:pPr>
              <w:spacing w:after="0"/>
              <w:ind w:right="640"/>
              <w:jc w:val="right"/>
              <w:rPr>
                <w:rFonts w:cstheme="minorHAnsi"/>
                <w:color w:val="000000"/>
              </w:rPr>
            </w:pPr>
            <w:r w:rsidRPr="00780E6A">
              <w:rPr>
                <w:rFonts w:cstheme="minorHAnsi"/>
                <w:color w:val="000000"/>
              </w:rPr>
              <w:t>9.500</w:t>
            </w:r>
          </w:p>
        </w:tc>
        <w:tc>
          <w:tcPr>
            <w:tcW w:w="2481" w:type="dxa"/>
            <w:shd w:val="clear" w:color="auto" w:fill="DEEAF6" w:themeFill="accent5" w:themeFillTint="33"/>
            <w:vAlign w:val="bottom"/>
          </w:tcPr>
          <w:p w14:paraId="2E74ECA3" w14:textId="41BDE3B2" w:rsidR="00780E6A" w:rsidRPr="00780E6A" w:rsidRDefault="00780E6A" w:rsidP="00780E6A">
            <w:pPr>
              <w:spacing w:after="0"/>
              <w:ind w:right="640"/>
              <w:jc w:val="right"/>
              <w:rPr>
                <w:rFonts w:cstheme="minorHAnsi"/>
                <w:color w:val="000000"/>
              </w:rPr>
            </w:pPr>
            <w:r w:rsidRPr="00780E6A">
              <w:rPr>
                <w:rFonts w:cstheme="minorHAnsi"/>
                <w:b/>
                <w:bCs/>
                <w:color w:val="000000"/>
              </w:rPr>
              <w:t>11.500</w:t>
            </w:r>
          </w:p>
        </w:tc>
      </w:tr>
      <w:tr w:rsidR="00780E6A" w:rsidRPr="00780E6A" w14:paraId="7D075F2C" w14:textId="56A7072D" w:rsidTr="00780E6A">
        <w:trPr>
          <w:trHeight w:val="278"/>
          <w:jc w:val="center"/>
        </w:trPr>
        <w:tc>
          <w:tcPr>
            <w:tcW w:w="3818" w:type="dxa"/>
            <w:shd w:val="clear" w:color="auto" w:fill="9CC2E5" w:themeFill="accent5" w:themeFillTint="99"/>
            <w:noWrap/>
            <w:vAlign w:val="center"/>
            <w:hideMark/>
          </w:tcPr>
          <w:p w14:paraId="6715704A" w14:textId="53FCABCC" w:rsidR="00780E6A" w:rsidRPr="00780E6A" w:rsidRDefault="00780E6A" w:rsidP="00780E6A">
            <w:pPr>
              <w:spacing w:after="0"/>
              <w:rPr>
                <w:rFonts w:cstheme="minorHAnsi"/>
                <w:color w:val="000000"/>
                <w:lang w:eastAsia="sl-SI"/>
              </w:rPr>
            </w:pPr>
            <w:r w:rsidRPr="00780E6A">
              <w:rPr>
                <w:rFonts w:cstheme="minorHAnsi"/>
                <w:color w:val="000000"/>
                <w:lang w:eastAsia="sl-SI"/>
              </w:rPr>
              <w:t>4. Stroški vode za zasneževanje</w:t>
            </w:r>
          </w:p>
        </w:tc>
        <w:tc>
          <w:tcPr>
            <w:tcW w:w="2551" w:type="dxa"/>
            <w:tcBorders>
              <w:right w:val="single" w:sz="2" w:space="0" w:color="auto"/>
            </w:tcBorders>
            <w:shd w:val="clear" w:color="auto" w:fill="9CC2E5" w:themeFill="accent5" w:themeFillTint="99"/>
            <w:noWrap/>
            <w:vAlign w:val="bottom"/>
            <w:hideMark/>
          </w:tcPr>
          <w:p w14:paraId="3C81B567" w14:textId="00D4BDA3" w:rsidR="00780E6A" w:rsidRPr="00780E6A" w:rsidRDefault="00780E6A" w:rsidP="00780E6A">
            <w:pPr>
              <w:spacing w:after="0"/>
              <w:ind w:right="640"/>
              <w:jc w:val="right"/>
              <w:rPr>
                <w:rFonts w:cstheme="minorHAnsi"/>
                <w:color w:val="000000"/>
              </w:rPr>
            </w:pPr>
            <w:r w:rsidRPr="00780E6A">
              <w:rPr>
                <w:rFonts w:cstheme="minorHAnsi"/>
                <w:color w:val="000000"/>
              </w:rPr>
              <w:t> </w:t>
            </w:r>
          </w:p>
        </w:tc>
        <w:tc>
          <w:tcPr>
            <w:tcW w:w="2481" w:type="dxa"/>
            <w:tcBorders>
              <w:left w:val="single" w:sz="2" w:space="0" w:color="auto"/>
              <w:right w:val="single" w:sz="2" w:space="0" w:color="auto"/>
            </w:tcBorders>
            <w:shd w:val="clear" w:color="auto" w:fill="9CC2E5" w:themeFill="accent5" w:themeFillTint="99"/>
            <w:noWrap/>
            <w:vAlign w:val="bottom"/>
            <w:hideMark/>
          </w:tcPr>
          <w:p w14:paraId="5719072F" w14:textId="3237D105" w:rsidR="00780E6A" w:rsidRPr="00780E6A" w:rsidRDefault="00780E6A" w:rsidP="00780E6A">
            <w:pPr>
              <w:spacing w:after="0"/>
              <w:ind w:right="640"/>
              <w:jc w:val="right"/>
              <w:rPr>
                <w:rFonts w:cstheme="minorHAnsi"/>
                <w:color w:val="000000"/>
              </w:rPr>
            </w:pPr>
            <w:r w:rsidRPr="00780E6A">
              <w:rPr>
                <w:rFonts w:cstheme="minorHAnsi"/>
                <w:color w:val="000000"/>
              </w:rPr>
              <w:t>4.500</w:t>
            </w:r>
          </w:p>
        </w:tc>
        <w:tc>
          <w:tcPr>
            <w:tcW w:w="2480" w:type="dxa"/>
            <w:tcBorders>
              <w:left w:val="single" w:sz="2" w:space="0" w:color="auto"/>
            </w:tcBorders>
            <w:shd w:val="clear" w:color="auto" w:fill="9CC2E5" w:themeFill="accent5" w:themeFillTint="99"/>
            <w:noWrap/>
            <w:vAlign w:val="bottom"/>
            <w:hideMark/>
          </w:tcPr>
          <w:p w14:paraId="76357CF3" w14:textId="05967096" w:rsidR="00780E6A" w:rsidRPr="00780E6A" w:rsidRDefault="00780E6A" w:rsidP="00780E6A">
            <w:pPr>
              <w:spacing w:after="0"/>
              <w:ind w:right="640"/>
              <w:jc w:val="right"/>
              <w:rPr>
                <w:rFonts w:cstheme="minorHAnsi"/>
                <w:color w:val="000000"/>
              </w:rPr>
            </w:pPr>
            <w:r w:rsidRPr="00780E6A">
              <w:rPr>
                <w:rFonts w:cstheme="minorHAnsi"/>
                <w:color w:val="000000"/>
              </w:rPr>
              <w:t> </w:t>
            </w:r>
          </w:p>
        </w:tc>
        <w:tc>
          <w:tcPr>
            <w:tcW w:w="2481" w:type="dxa"/>
            <w:shd w:val="clear" w:color="auto" w:fill="9CC2E5" w:themeFill="accent5" w:themeFillTint="99"/>
            <w:vAlign w:val="bottom"/>
          </w:tcPr>
          <w:p w14:paraId="60CB1AA5" w14:textId="34ABB6CD" w:rsidR="00780E6A" w:rsidRPr="00780E6A" w:rsidRDefault="00780E6A" w:rsidP="00780E6A">
            <w:pPr>
              <w:spacing w:after="0"/>
              <w:ind w:right="640"/>
              <w:jc w:val="right"/>
              <w:rPr>
                <w:rFonts w:cstheme="minorHAnsi"/>
                <w:color w:val="000000"/>
              </w:rPr>
            </w:pPr>
            <w:r w:rsidRPr="00780E6A">
              <w:rPr>
                <w:rFonts w:cstheme="minorHAnsi"/>
                <w:b/>
                <w:bCs/>
                <w:color w:val="000000"/>
              </w:rPr>
              <w:t>4.500</w:t>
            </w:r>
          </w:p>
        </w:tc>
      </w:tr>
      <w:tr w:rsidR="00780E6A" w:rsidRPr="00780E6A" w14:paraId="69F2012C" w14:textId="6ACA08DA" w:rsidTr="00780E6A">
        <w:trPr>
          <w:trHeight w:val="278"/>
          <w:jc w:val="center"/>
        </w:trPr>
        <w:tc>
          <w:tcPr>
            <w:tcW w:w="3818" w:type="dxa"/>
            <w:tcBorders>
              <w:bottom w:val="single" w:sz="8" w:space="0" w:color="auto"/>
            </w:tcBorders>
            <w:shd w:val="clear" w:color="auto" w:fill="DEEAF6" w:themeFill="accent5" w:themeFillTint="33"/>
            <w:noWrap/>
            <w:vAlign w:val="center"/>
            <w:hideMark/>
          </w:tcPr>
          <w:p w14:paraId="1EDB2694" w14:textId="7EBF03D2" w:rsidR="00780E6A" w:rsidRPr="00780E6A" w:rsidRDefault="00780E6A" w:rsidP="00780E6A">
            <w:pPr>
              <w:spacing w:after="0"/>
              <w:rPr>
                <w:rFonts w:cstheme="minorHAnsi"/>
                <w:color w:val="000000"/>
                <w:lang w:eastAsia="sl-SI"/>
              </w:rPr>
            </w:pPr>
            <w:r w:rsidRPr="00780E6A">
              <w:rPr>
                <w:rFonts w:cstheme="minorHAnsi"/>
                <w:color w:val="000000"/>
                <w:lang w:eastAsia="sl-SI"/>
              </w:rPr>
              <w:t>5. Stroški najemnin</w:t>
            </w:r>
          </w:p>
        </w:tc>
        <w:tc>
          <w:tcPr>
            <w:tcW w:w="2551" w:type="dxa"/>
            <w:tcBorders>
              <w:bottom w:val="single" w:sz="8" w:space="0" w:color="auto"/>
              <w:right w:val="single" w:sz="2" w:space="0" w:color="auto"/>
            </w:tcBorders>
            <w:shd w:val="clear" w:color="auto" w:fill="DEEAF6" w:themeFill="accent5" w:themeFillTint="33"/>
            <w:noWrap/>
            <w:vAlign w:val="bottom"/>
            <w:hideMark/>
          </w:tcPr>
          <w:p w14:paraId="5863BE87" w14:textId="5847E715" w:rsidR="00780E6A" w:rsidRPr="00780E6A" w:rsidRDefault="00780E6A" w:rsidP="00780E6A">
            <w:pPr>
              <w:spacing w:after="0"/>
              <w:ind w:right="640"/>
              <w:jc w:val="right"/>
              <w:rPr>
                <w:rFonts w:cstheme="minorHAnsi"/>
                <w:color w:val="000000"/>
              </w:rPr>
            </w:pPr>
            <w:r w:rsidRPr="00780E6A">
              <w:rPr>
                <w:rFonts w:cstheme="minorHAnsi"/>
                <w:color w:val="000000"/>
              </w:rPr>
              <w:t> </w:t>
            </w:r>
          </w:p>
        </w:tc>
        <w:tc>
          <w:tcPr>
            <w:tcW w:w="2481" w:type="dxa"/>
            <w:tcBorders>
              <w:left w:val="single" w:sz="2" w:space="0" w:color="auto"/>
              <w:bottom w:val="single" w:sz="8" w:space="0" w:color="auto"/>
              <w:right w:val="single" w:sz="2" w:space="0" w:color="auto"/>
            </w:tcBorders>
            <w:shd w:val="clear" w:color="auto" w:fill="DEEAF6" w:themeFill="accent5" w:themeFillTint="33"/>
            <w:noWrap/>
            <w:vAlign w:val="bottom"/>
            <w:hideMark/>
          </w:tcPr>
          <w:p w14:paraId="059114D1" w14:textId="11AD6DE7" w:rsidR="00780E6A" w:rsidRPr="00780E6A" w:rsidRDefault="00780E6A" w:rsidP="00780E6A">
            <w:pPr>
              <w:spacing w:after="0"/>
              <w:ind w:right="640"/>
              <w:jc w:val="right"/>
              <w:rPr>
                <w:rFonts w:cstheme="minorHAnsi"/>
                <w:color w:val="000000"/>
              </w:rPr>
            </w:pPr>
            <w:r w:rsidRPr="00780E6A">
              <w:rPr>
                <w:rFonts w:cstheme="minorHAnsi"/>
                <w:color w:val="000000"/>
              </w:rPr>
              <w:t> </w:t>
            </w:r>
          </w:p>
        </w:tc>
        <w:tc>
          <w:tcPr>
            <w:tcW w:w="2480" w:type="dxa"/>
            <w:tcBorders>
              <w:left w:val="single" w:sz="2" w:space="0" w:color="auto"/>
              <w:bottom w:val="single" w:sz="8" w:space="0" w:color="auto"/>
            </w:tcBorders>
            <w:shd w:val="clear" w:color="auto" w:fill="DEEAF6" w:themeFill="accent5" w:themeFillTint="33"/>
            <w:noWrap/>
            <w:vAlign w:val="bottom"/>
            <w:hideMark/>
          </w:tcPr>
          <w:p w14:paraId="29D84C40" w14:textId="40886442" w:rsidR="00780E6A" w:rsidRPr="00780E6A" w:rsidRDefault="00780E6A" w:rsidP="00780E6A">
            <w:pPr>
              <w:spacing w:after="0"/>
              <w:ind w:right="640"/>
              <w:jc w:val="right"/>
              <w:rPr>
                <w:rFonts w:cstheme="minorHAnsi"/>
                <w:color w:val="000000"/>
              </w:rPr>
            </w:pPr>
            <w:r w:rsidRPr="00780E6A">
              <w:rPr>
                <w:rFonts w:cstheme="minorHAnsi"/>
                <w:color w:val="000000"/>
              </w:rPr>
              <w:t> </w:t>
            </w:r>
          </w:p>
        </w:tc>
        <w:tc>
          <w:tcPr>
            <w:tcW w:w="2481" w:type="dxa"/>
            <w:tcBorders>
              <w:bottom w:val="single" w:sz="8" w:space="0" w:color="auto"/>
            </w:tcBorders>
            <w:shd w:val="clear" w:color="auto" w:fill="DEEAF6" w:themeFill="accent5" w:themeFillTint="33"/>
            <w:vAlign w:val="bottom"/>
          </w:tcPr>
          <w:p w14:paraId="63C27606" w14:textId="4B1C93F6" w:rsidR="00780E6A" w:rsidRPr="00780E6A" w:rsidRDefault="00780E6A" w:rsidP="00780E6A">
            <w:pPr>
              <w:spacing w:after="0"/>
              <w:ind w:right="640"/>
              <w:jc w:val="right"/>
              <w:rPr>
                <w:rFonts w:cstheme="minorHAnsi"/>
                <w:color w:val="000000"/>
              </w:rPr>
            </w:pPr>
            <w:r w:rsidRPr="00780E6A">
              <w:rPr>
                <w:rFonts w:cstheme="minorHAnsi"/>
                <w:b/>
                <w:bCs/>
                <w:color w:val="000000"/>
              </w:rPr>
              <w:t>0</w:t>
            </w:r>
          </w:p>
        </w:tc>
      </w:tr>
      <w:tr w:rsidR="00780E6A" w:rsidRPr="00780E6A" w14:paraId="7930490B" w14:textId="3636B480" w:rsidTr="00780E6A">
        <w:trPr>
          <w:trHeight w:val="278"/>
          <w:jc w:val="center"/>
        </w:trPr>
        <w:tc>
          <w:tcPr>
            <w:tcW w:w="3818" w:type="dxa"/>
            <w:tcBorders>
              <w:bottom w:val="single" w:sz="2" w:space="0" w:color="auto"/>
            </w:tcBorders>
            <w:shd w:val="clear" w:color="auto" w:fill="9CC2E5" w:themeFill="accent5" w:themeFillTint="99"/>
            <w:noWrap/>
            <w:vAlign w:val="center"/>
            <w:hideMark/>
          </w:tcPr>
          <w:p w14:paraId="0423F198" w14:textId="5BF11361" w:rsidR="00780E6A" w:rsidRPr="00780E6A" w:rsidRDefault="00780E6A" w:rsidP="00780E6A">
            <w:pPr>
              <w:spacing w:after="0"/>
              <w:rPr>
                <w:rFonts w:cstheme="minorHAnsi"/>
                <w:color w:val="000000"/>
                <w:lang w:eastAsia="sl-SI"/>
              </w:rPr>
            </w:pPr>
            <w:r w:rsidRPr="00780E6A">
              <w:rPr>
                <w:rFonts w:cstheme="minorHAnsi"/>
                <w:color w:val="000000"/>
                <w:lang w:eastAsia="sl-SI"/>
              </w:rPr>
              <w:t>6. Stroški dela</w:t>
            </w:r>
          </w:p>
        </w:tc>
        <w:tc>
          <w:tcPr>
            <w:tcW w:w="2551" w:type="dxa"/>
            <w:tcBorders>
              <w:bottom w:val="single" w:sz="2" w:space="0" w:color="auto"/>
              <w:right w:val="single" w:sz="2" w:space="0" w:color="auto"/>
            </w:tcBorders>
            <w:shd w:val="clear" w:color="auto" w:fill="9CC2E5" w:themeFill="accent5" w:themeFillTint="99"/>
            <w:noWrap/>
            <w:vAlign w:val="bottom"/>
            <w:hideMark/>
          </w:tcPr>
          <w:p w14:paraId="71F80A50" w14:textId="1B02B76A" w:rsidR="00780E6A" w:rsidRPr="00780E6A" w:rsidRDefault="00780E6A" w:rsidP="00780E6A">
            <w:pPr>
              <w:spacing w:after="0"/>
              <w:ind w:right="640"/>
              <w:jc w:val="right"/>
              <w:rPr>
                <w:rFonts w:cstheme="minorHAnsi"/>
                <w:color w:val="000000"/>
              </w:rPr>
            </w:pPr>
            <w:r w:rsidRPr="00780E6A">
              <w:rPr>
                <w:rFonts w:cstheme="minorHAnsi"/>
                <w:color w:val="000000"/>
              </w:rPr>
              <w:t>66.890</w:t>
            </w:r>
          </w:p>
        </w:tc>
        <w:tc>
          <w:tcPr>
            <w:tcW w:w="2481" w:type="dxa"/>
            <w:tcBorders>
              <w:left w:val="single" w:sz="2" w:space="0" w:color="auto"/>
              <w:bottom w:val="single" w:sz="2" w:space="0" w:color="auto"/>
              <w:right w:val="single" w:sz="2" w:space="0" w:color="auto"/>
            </w:tcBorders>
            <w:shd w:val="clear" w:color="auto" w:fill="9CC2E5" w:themeFill="accent5" w:themeFillTint="99"/>
            <w:noWrap/>
            <w:vAlign w:val="bottom"/>
            <w:hideMark/>
          </w:tcPr>
          <w:p w14:paraId="53B0A4CF" w14:textId="720C23EC" w:rsidR="00780E6A" w:rsidRPr="00780E6A" w:rsidRDefault="00780E6A" w:rsidP="00780E6A">
            <w:pPr>
              <w:spacing w:after="0"/>
              <w:ind w:right="640"/>
              <w:jc w:val="right"/>
              <w:rPr>
                <w:rFonts w:cstheme="minorHAnsi"/>
                <w:color w:val="000000"/>
              </w:rPr>
            </w:pPr>
            <w:r w:rsidRPr="00780E6A">
              <w:rPr>
                <w:rFonts w:cstheme="minorHAnsi"/>
                <w:color w:val="000000"/>
              </w:rPr>
              <w:t>10.313</w:t>
            </w:r>
          </w:p>
        </w:tc>
        <w:tc>
          <w:tcPr>
            <w:tcW w:w="2480" w:type="dxa"/>
            <w:tcBorders>
              <w:left w:val="single" w:sz="2" w:space="0" w:color="auto"/>
              <w:bottom w:val="single" w:sz="2" w:space="0" w:color="auto"/>
            </w:tcBorders>
            <w:shd w:val="clear" w:color="auto" w:fill="9CC2E5" w:themeFill="accent5" w:themeFillTint="99"/>
            <w:noWrap/>
            <w:vAlign w:val="bottom"/>
            <w:hideMark/>
          </w:tcPr>
          <w:p w14:paraId="3AAF7BE1" w14:textId="477092A0" w:rsidR="00780E6A" w:rsidRPr="00780E6A" w:rsidRDefault="00780E6A" w:rsidP="00780E6A">
            <w:pPr>
              <w:spacing w:after="0"/>
              <w:ind w:right="640"/>
              <w:jc w:val="right"/>
              <w:rPr>
                <w:rFonts w:cstheme="minorHAnsi"/>
                <w:color w:val="000000"/>
              </w:rPr>
            </w:pPr>
            <w:r w:rsidRPr="00780E6A">
              <w:rPr>
                <w:rFonts w:cstheme="minorHAnsi"/>
                <w:color w:val="000000"/>
              </w:rPr>
              <w:t>59.239</w:t>
            </w:r>
          </w:p>
        </w:tc>
        <w:tc>
          <w:tcPr>
            <w:tcW w:w="2481" w:type="dxa"/>
            <w:tcBorders>
              <w:bottom w:val="single" w:sz="2" w:space="0" w:color="auto"/>
            </w:tcBorders>
            <w:shd w:val="clear" w:color="auto" w:fill="9CC2E5" w:themeFill="accent5" w:themeFillTint="99"/>
            <w:vAlign w:val="bottom"/>
          </w:tcPr>
          <w:p w14:paraId="6BB750B0" w14:textId="0F78C543" w:rsidR="00780E6A" w:rsidRPr="00780E6A" w:rsidRDefault="00780E6A" w:rsidP="00780E6A">
            <w:pPr>
              <w:spacing w:after="0"/>
              <w:ind w:right="640"/>
              <w:jc w:val="right"/>
              <w:rPr>
                <w:rFonts w:cstheme="minorHAnsi"/>
                <w:color w:val="000000"/>
              </w:rPr>
            </w:pPr>
            <w:r w:rsidRPr="00780E6A">
              <w:rPr>
                <w:rFonts w:cstheme="minorHAnsi"/>
                <w:b/>
                <w:bCs/>
                <w:color w:val="000000"/>
              </w:rPr>
              <w:t>136.442</w:t>
            </w:r>
          </w:p>
        </w:tc>
      </w:tr>
      <w:tr w:rsidR="00780E6A" w:rsidRPr="00780E6A" w14:paraId="0C9126E5" w14:textId="729F66FF" w:rsidTr="00780E6A">
        <w:trPr>
          <w:trHeight w:val="278"/>
          <w:jc w:val="center"/>
        </w:trPr>
        <w:tc>
          <w:tcPr>
            <w:tcW w:w="3818" w:type="dxa"/>
            <w:tcBorders>
              <w:top w:val="single" w:sz="2" w:space="0" w:color="auto"/>
              <w:bottom w:val="single" w:sz="2" w:space="0" w:color="auto"/>
            </w:tcBorders>
            <w:shd w:val="clear" w:color="auto" w:fill="9CC2E5" w:themeFill="accent5" w:themeFillTint="99"/>
            <w:noWrap/>
            <w:vAlign w:val="center"/>
          </w:tcPr>
          <w:p w14:paraId="1234A662" w14:textId="2C8526E2" w:rsidR="00780E6A" w:rsidRPr="00780E6A" w:rsidRDefault="00780E6A" w:rsidP="00780E6A">
            <w:pPr>
              <w:spacing w:after="0"/>
              <w:rPr>
                <w:rFonts w:cstheme="minorHAnsi"/>
                <w:color w:val="000000"/>
                <w:sz w:val="18"/>
                <w:szCs w:val="18"/>
                <w:lang w:eastAsia="sl-SI"/>
              </w:rPr>
            </w:pPr>
            <w:r w:rsidRPr="00780E6A">
              <w:rPr>
                <w:rFonts w:cstheme="minorHAnsi"/>
                <w:color w:val="000000"/>
                <w:sz w:val="18"/>
                <w:szCs w:val="18"/>
                <w:lang w:eastAsia="sl-SI"/>
              </w:rPr>
              <w:t xml:space="preserve">   - redno zaposleni</w:t>
            </w:r>
          </w:p>
        </w:tc>
        <w:tc>
          <w:tcPr>
            <w:tcW w:w="2551" w:type="dxa"/>
            <w:tcBorders>
              <w:top w:val="single" w:sz="2" w:space="0" w:color="auto"/>
              <w:bottom w:val="single" w:sz="2" w:space="0" w:color="auto"/>
              <w:right w:val="single" w:sz="2" w:space="0" w:color="auto"/>
            </w:tcBorders>
            <w:shd w:val="clear" w:color="auto" w:fill="9CC2E5" w:themeFill="accent5" w:themeFillTint="99"/>
            <w:noWrap/>
            <w:vAlign w:val="bottom"/>
          </w:tcPr>
          <w:p w14:paraId="08DFB92C" w14:textId="1AEBEEAE" w:rsidR="00780E6A" w:rsidRPr="00780E6A" w:rsidRDefault="00780E6A" w:rsidP="00780E6A">
            <w:pPr>
              <w:spacing w:after="0"/>
              <w:ind w:right="640"/>
              <w:jc w:val="right"/>
              <w:rPr>
                <w:rFonts w:cstheme="minorHAnsi"/>
                <w:color w:val="000000"/>
                <w:sz w:val="18"/>
                <w:szCs w:val="18"/>
              </w:rPr>
            </w:pPr>
            <w:r w:rsidRPr="00780E6A">
              <w:rPr>
                <w:rFonts w:cstheme="minorHAnsi"/>
                <w:color w:val="000000"/>
                <w:sz w:val="18"/>
                <w:szCs w:val="18"/>
              </w:rPr>
              <w:t>66.890</w:t>
            </w:r>
          </w:p>
        </w:tc>
        <w:tc>
          <w:tcPr>
            <w:tcW w:w="2481" w:type="dxa"/>
            <w:tcBorders>
              <w:top w:val="single" w:sz="2" w:space="0" w:color="auto"/>
              <w:left w:val="single" w:sz="2" w:space="0" w:color="auto"/>
              <w:bottom w:val="single" w:sz="2" w:space="0" w:color="auto"/>
              <w:right w:val="single" w:sz="2" w:space="0" w:color="auto"/>
            </w:tcBorders>
            <w:shd w:val="clear" w:color="auto" w:fill="9CC2E5" w:themeFill="accent5" w:themeFillTint="99"/>
            <w:noWrap/>
            <w:vAlign w:val="bottom"/>
          </w:tcPr>
          <w:p w14:paraId="09CF8FF9" w14:textId="2071FCA2" w:rsidR="00780E6A" w:rsidRPr="00780E6A" w:rsidRDefault="00780E6A" w:rsidP="00780E6A">
            <w:pPr>
              <w:spacing w:after="0"/>
              <w:ind w:right="640"/>
              <w:jc w:val="right"/>
              <w:rPr>
                <w:rFonts w:cstheme="minorHAnsi"/>
                <w:color w:val="000000"/>
                <w:sz w:val="18"/>
                <w:szCs w:val="18"/>
              </w:rPr>
            </w:pPr>
            <w:r w:rsidRPr="00780E6A">
              <w:rPr>
                <w:rFonts w:cstheme="minorHAnsi"/>
                <w:color w:val="000000"/>
                <w:sz w:val="18"/>
                <w:szCs w:val="18"/>
              </w:rPr>
              <w:t>4.013</w:t>
            </w:r>
          </w:p>
        </w:tc>
        <w:tc>
          <w:tcPr>
            <w:tcW w:w="2480" w:type="dxa"/>
            <w:tcBorders>
              <w:top w:val="single" w:sz="2" w:space="0" w:color="auto"/>
              <w:left w:val="single" w:sz="2" w:space="0" w:color="auto"/>
              <w:bottom w:val="single" w:sz="2" w:space="0" w:color="auto"/>
            </w:tcBorders>
            <w:shd w:val="clear" w:color="auto" w:fill="9CC2E5" w:themeFill="accent5" w:themeFillTint="99"/>
            <w:noWrap/>
            <w:vAlign w:val="bottom"/>
          </w:tcPr>
          <w:p w14:paraId="7AD305C4" w14:textId="1C9BCEBF" w:rsidR="00780E6A" w:rsidRPr="00780E6A" w:rsidRDefault="00780E6A" w:rsidP="00780E6A">
            <w:pPr>
              <w:spacing w:after="0"/>
              <w:ind w:right="640"/>
              <w:jc w:val="right"/>
              <w:rPr>
                <w:rFonts w:cstheme="minorHAnsi"/>
                <w:color w:val="000000"/>
                <w:sz w:val="18"/>
                <w:szCs w:val="18"/>
              </w:rPr>
            </w:pPr>
            <w:r w:rsidRPr="00780E6A">
              <w:rPr>
                <w:rFonts w:cstheme="minorHAnsi"/>
                <w:color w:val="000000"/>
                <w:sz w:val="18"/>
                <w:szCs w:val="18"/>
              </w:rPr>
              <w:t>12.039</w:t>
            </w:r>
          </w:p>
        </w:tc>
        <w:tc>
          <w:tcPr>
            <w:tcW w:w="2481" w:type="dxa"/>
            <w:tcBorders>
              <w:top w:val="single" w:sz="2" w:space="0" w:color="auto"/>
              <w:bottom w:val="single" w:sz="2" w:space="0" w:color="auto"/>
            </w:tcBorders>
            <w:shd w:val="clear" w:color="auto" w:fill="9CC2E5" w:themeFill="accent5" w:themeFillTint="99"/>
            <w:vAlign w:val="bottom"/>
          </w:tcPr>
          <w:p w14:paraId="683F369A" w14:textId="4C120916" w:rsidR="00780E6A" w:rsidRPr="00780E6A" w:rsidRDefault="00780E6A" w:rsidP="00780E6A">
            <w:pPr>
              <w:spacing w:after="0"/>
              <w:ind w:right="640"/>
              <w:jc w:val="right"/>
              <w:rPr>
                <w:rFonts w:cstheme="minorHAnsi"/>
                <w:color w:val="000000"/>
                <w:sz w:val="18"/>
                <w:szCs w:val="18"/>
              </w:rPr>
            </w:pPr>
            <w:r w:rsidRPr="00780E6A">
              <w:rPr>
                <w:rFonts w:cstheme="minorHAnsi"/>
                <w:b/>
                <w:bCs/>
                <w:color w:val="000000"/>
                <w:sz w:val="18"/>
                <w:szCs w:val="18"/>
              </w:rPr>
              <w:t>82.942</w:t>
            </w:r>
          </w:p>
        </w:tc>
      </w:tr>
      <w:tr w:rsidR="00780E6A" w:rsidRPr="00780E6A" w14:paraId="49A0BF60" w14:textId="5C1E966C" w:rsidTr="00780E6A">
        <w:trPr>
          <w:trHeight w:val="278"/>
          <w:jc w:val="center"/>
        </w:trPr>
        <w:tc>
          <w:tcPr>
            <w:tcW w:w="3818" w:type="dxa"/>
            <w:tcBorders>
              <w:top w:val="single" w:sz="2" w:space="0" w:color="auto"/>
              <w:bottom w:val="single" w:sz="8" w:space="0" w:color="auto"/>
            </w:tcBorders>
            <w:shd w:val="clear" w:color="auto" w:fill="9CC2E5" w:themeFill="accent5" w:themeFillTint="99"/>
            <w:noWrap/>
            <w:vAlign w:val="center"/>
          </w:tcPr>
          <w:p w14:paraId="0346F42C" w14:textId="304AD18E" w:rsidR="00780E6A" w:rsidRPr="00780E6A" w:rsidRDefault="00780E6A" w:rsidP="00780E6A">
            <w:pPr>
              <w:spacing w:after="0"/>
              <w:rPr>
                <w:rFonts w:cstheme="minorHAnsi"/>
                <w:color w:val="000000"/>
                <w:sz w:val="18"/>
                <w:szCs w:val="18"/>
                <w:lang w:eastAsia="sl-SI"/>
              </w:rPr>
            </w:pPr>
            <w:r w:rsidRPr="00780E6A">
              <w:rPr>
                <w:rFonts w:cstheme="minorHAnsi"/>
                <w:color w:val="000000"/>
                <w:sz w:val="18"/>
                <w:szCs w:val="18"/>
                <w:lang w:eastAsia="sl-SI"/>
              </w:rPr>
              <w:t xml:space="preserve">   - sezonski delavci</w:t>
            </w:r>
          </w:p>
        </w:tc>
        <w:tc>
          <w:tcPr>
            <w:tcW w:w="2551" w:type="dxa"/>
            <w:tcBorders>
              <w:top w:val="single" w:sz="2" w:space="0" w:color="auto"/>
              <w:bottom w:val="single" w:sz="8" w:space="0" w:color="auto"/>
              <w:right w:val="single" w:sz="2" w:space="0" w:color="auto"/>
            </w:tcBorders>
            <w:shd w:val="clear" w:color="auto" w:fill="9CC2E5" w:themeFill="accent5" w:themeFillTint="99"/>
            <w:noWrap/>
            <w:vAlign w:val="bottom"/>
          </w:tcPr>
          <w:p w14:paraId="5411EEC9" w14:textId="153CB73D" w:rsidR="00780E6A" w:rsidRPr="00780E6A" w:rsidRDefault="00780E6A" w:rsidP="00780E6A">
            <w:pPr>
              <w:spacing w:after="0"/>
              <w:ind w:right="640"/>
              <w:jc w:val="right"/>
              <w:rPr>
                <w:rFonts w:cstheme="minorHAnsi"/>
                <w:color w:val="000000"/>
                <w:sz w:val="18"/>
                <w:szCs w:val="18"/>
              </w:rPr>
            </w:pPr>
            <w:r w:rsidRPr="00780E6A">
              <w:rPr>
                <w:rFonts w:cstheme="minorHAnsi"/>
                <w:color w:val="000000"/>
                <w:sz w:val="18"/>
                <w:szCs w:val="18"/>
              </w:rPr>
              <w:t> </w:t>
            </w:r>
          </w:p>
        </w:tc>
        <w:tc>
          <w:tcPr>
            <w:tcW w:w="2481" w:type="dxa"/>
            <w:tcBorders>
              <w:top w:val="single" w:sz="2" w:space="0" w:color="auto"/>
              <w:left w:val="single" w:sz="2" w:space="0" w:color="auto"/>
              <w:bottom w:val="single" w:sz="8" w:space="0" w:color="auto"/>
              <w:right w:val="single" w:sz="2" w:space="0" w:color="auto"/>
            </w:tcBorders>
            <w:shd w:val="clear" w:color="auto" w:fill="9CC2E5" w:themeFill="accent5" w:themeFillTint="99"/>
            <w:noWrap/>
            <w:vAlign w:val="bottom"/>
          </w:tcPr>
          <w:p w14:paraId="4F0274B4" w14:textId="393803B7" w:rsidR="00780E6A" w:rsidRPr="00780E6A" w:rsidRDefault="00780E6A" w:rsidP="00780E6A">
            <w:pPr>
              <w:spacing w:after="0"/>
              <w:ind w:right="640"/>
              <w:jc w:val="right"/>
              <w:rPr>
                <w:rFonts w:cstheme="minorHAnsi"/>
                <w:color w:val="000000"/>
                <w:sz w:val="18"/>
                <w:szCs w:val="18"/>
              </w:rPr>
            </w:pPr>
            <w:r w:rsidRPr="00780E6A">
              <w:rPr>
                <w:rFonts w:cstheme="minorHAnsi"/>
                <w:color w:val="000000"/>
                <w:sz w:val="18"/>
                <w:szCs w:val="18"/>
              </w:rPr>
              <w:t>6.300</w:t>
            </w:r>
          </w:p>
        </w:tc>
        <w:tc>
          <w:tcPr>
            <w:tcW w:w="2480" w:type="dxa"/>
            <w:tcBorders>
              <w:top w:val="single" w:sz="2" w:space="0" w:color="auto"/>
              <w:left w:val="single" w:sz="2" w:space="0" w:color="auto"/>
              <w:bottom w:val="single" w:sz="8" w:space="0" w:color="auto"/>
            </w:tcBorders>
            <w:shd w:val="clear" w:color="auto" w:fill="9CC2E5" w:themeFill="accent5" w:themeFillTint="99"/>
            <w:noWrap/>
            <w:vAlign w:val="bottom"/>
          </w:tcPr>
          <w:p w14:paraId="2C440C83" w14:textId="7589B8E4" w:rsidR="00780E6A" w:rsidRPr="00780E6A" w:rsidRDefault="00780E6A" w:rsidP="00780E6A">
            <w:pPr>
              <w:spacing w:after="0"/>
              <w:ind w:right="640"/>
              <w:jc w:val="right"/>
              <w:rPr>
                <w:rFonts w:cstheme="minorHAnsi"/>
                <w:color w:val="000000"/>
                <w:sz w:val="18"/>
                <w:szCs w:val="18"/>
              </w:rPr>
            </w:pPr>
            <w:r w:rsidRPr="00780E6A">
              <w:rPr>
                <w:rFonts w:cstheme="minorHAnsi"/>
                <w:color w:val="000000"/>
                <w:sz w:val="18"/>
                <w:szCs w:val="18"/>
              </w:rPr>
              <w:t>47.200</w:t>
            </w:r>
          </w:p>
        </w:tc>
        <w:tc>
          <w:tcPr>
            <w:tcW w:w="2481" w:type="dxa"/>
            <w:tcBorders>
              <w:top w:val="single" w:sz="2" w:space="0" w:color="auto"/>
              <w:bottom w:val="single" w:sz="8" w:space="0" w:color="auto"/>
            </w:tcBorders>
            <w:shd w:val="clear" w:color="auto" w:fill="9CC2E5" w:themeFill="accent5" w:themeFillTint="99"/>
            <w:vAlign w:val="bottom"/>
          </w:tcPr>
          <w:p w14:paraId="1C7D9D54" w14:textId="39529E3E" w:rsidR="00780E6A" w:rsidRPr="00780E6A" w:rsidRDefault="00780E6A" w:rsidP="00780E6A">
            <w:pPr>
              <w:spacing w:after="0"/>
              <w:ind w:right="640"/>
              <w:jc w:val="right"/>
              <w:rPr>
                <w:rFonts w:cstheme="minorHAnsi"/>
                <w:color w:val="000000"/>
                <w:sz w:val="18"/>
                <w:szCs w:val="18"/>
              </w:rPr>
            </w:pPr>
            <w:r w:rsidRPr="00780E6A">
              <w:rPr>
                <w:rFonts w:cstheme="minorHAnsi"/>
                <w:b/>
                <w:bCs/>
                <w:color w:val="000000"/>
                <w:sz w:val="18"/>
                <w:szCs w:val="18"/>
              </w:rPr>
              <w:t>53.500</w:t>
            </w:r>
          </w:p>
        </w:tc>
      </w:tr>
      <w:tr w:rsidR="00780E6A" w:rsidRPr="00780E6A" w14:paraId="62E2D1E6" w14:textId="1A096F2B" w:rsidTr="00780E6A">
        <w:trPr>
          <w:trHeight w:val="278"/>
          <w:jc w:val="center"/>
        </w:trPr>
        <w:tc>
          <w:tcPr>
            <w:tcW w:w="3818" w:type="dxa"/>
            <w:tcBorders>
              <w:top w:val="single" w:sz="8" w:space="0" w:color="auto"/>
            </w:tcBorders>
            <w:shd w:val="clear" w:color="auto" w:fill="DEEAF6" w:themeFill="accent5" w:themeFillTint="33"/>
            <w:noWrap/>
            <w:vAlign w:val="center"/>
            <w:hideMark/>
          </w:tcPr>
          <w:p w14:paraId="09EA1C91" w14:textId="5E934C6C" w:rsidR="00780E6A" w:rsidRPr="00780E6A" w:rsidRDefault="00780E6A" w:rsidP="00780E6A">
            <w:pPr>
              <w:spacing w:after="0"/>
              <w:rPr>
                <w:rFonts w:cstheme="minorHAnsi"/>
                <w:color w:val="000000"/>
                <w:lang w:eastAsia="sl-SI"/>
              </w:rPr>
            </w:pPr>
            <w:r w:rsidRPr="00780E6A">
              <w:rPr>
                <w:rFonts w:cstheme="minorHAnsi"/>
                <w:color w:val="000000"/>
                <w:lang w:eastAsia="sl-SI"/>
              </w:rPr>
              <w:t>7. Stroški zavarovanja</w:t>
            </w:r>
          </w:p>
        </w:tc>
        <w:tc>
          <w:tcPr>
            <w:tcW w:w="2551" w:type="dxa"/>
            <w:tcBorders>
              <w:top w:val="single" w:sz="8" w:space="0" w:color="auto"/>
              <w:right w:val="single" w:sz="2" w:space="0" w:color="auto"/>
            </w:tcBorders>
            <w:shd w:val="clear" w:color="auto" w:fill="DEEAF6" w:themeFill="accent5" w:themeFillTint="33"/>
            <w:noWrap/>
            <w:vAlign w:val="bottom"/>
            <w:hideMark/>
          </w:tcPr>
          <w:p w14:paraId="75569880" w14:textId="1A16B098" w:rsidR="00780E6A" w:rsidRPr="00780E6A" w:rsidRDefault="00780E6A" w:rsidP="00780E6A">
            <w:pPr>
              <w:spacing w:after="0"/>
              <w:ind w:right="640"/>
              <w:jc w:val="right"/>
              <w:rPr>
                <w:rFonts w:cstheme="minorHAnsi"/>
                <w:color w:val="000000"/>
              </w:rPr>
            </w:pPr>
            <w:r w:rsidRPr="00780E6A">
              <w:rPr>
                <w:rFonts w:cstheme="minorHAnsi"/>
                <w:color w:val="000000"/>
              </w:rPr>
              <w:t>12.500</w:t>
            </w:r>
          </w:p>
        </w:tc>
        <w:tc>
          <w:tcPr>
            <w:tcW w:w="2481" w:type="dxa"/>
            <w:tcBorders>
              <w:top w:val="single" w:sz="8" w:space="0" w:color="auto"/>
              <w:left w:val="single" w:sz="2" w:space="0" w:color="auto"/>
              <w:right w:val="single" w:sz="2" w:space="0" w:color="auto"/>
            </w:tcBorders>
            <w:shd w:val="clear" w:color="auto" w:fill="DEEAF6" w:themeFill="accent5" w:themeFillTint="33"/>
            <w:noWrap/>
            <w:vAlign w:val="bottom"/>
            <w:hideMark/>
          </w:tcPr>
          <w:p w14:paraId="16255EB0" w14:textId="49A740A7" w:rsidR="00780E6A" w:rsidRPr="00780E6A" w:rsidRDefault="00780E6A" w:rsidP="00780E6A">
            <w:pPr>
              <w:spacing w:after="0"/>
              <w:ind w:right="640"/>
              <w:jc w:val="right"/>
              <w:rPr>
                <w:rFonts w:cstheme="minorHAnsi"/>
                <w:color w:val="000000"/>
              </w:rPr>
            </w:pPr>
            <w:r w:rsidRPr="00780E6A">
              <w:rPr>
                <w:rFonts w:cstheme="minorHAnsi"/>
                <w:color w:val="000000"/>
              </w:rPr>
              <w:t>625</w:t>
            </w:r>
          </w:p>
        </w:tc>
        <w:tc>
          <w:tcPr>
            <w:tcW w:w="2480" w:type="dxa"/>
            <w:tcBorders>
              <w:top w:val="single" w:sz="8" w:space="0" w:color="auto"/>
              <w:left w:val="single" w:sz="2" w:space="0" w:color="auto"/>
            </w:tcBorders>
            <w:shd w:val="clear" w:color="auto" w:fill="DEEAF6" w:themeFill="accent5" w:themeFillTint="33"/>
            <w:noWrap/>
            <w:vAlign w:val="bottom"/>
            <w:hideMark/>
          </w:tcPr>
          <w:p w14:paraId="32AE46E7" w14:textId="23D102A1" w:rsidR="00780E6A" w:rsidRPr="00780E6A" w:rsidRDefault="00780E6A" w:rsidP="00780E6A">
            <w:pPr>
              <w:spacing w:after="0"/>
              <w:ind w:right="640"/>
              <w:jc w:val="right"/>
              <w:rPr>
                <w:rFonts w:cstheme="minorHAnsi"/>
                <w:color w:val="000000"/>
              </w:rPr>
            </w:pPr>
            <w:r w:rsidRPr="00780E6A">
              <w:rPr>
                <w:rFonts w:cstheme="minorHAnsi"/>
                <w:color w:val="000000"/>
              </w:rPr>
              <w:t>1.875</w:t>
            </w:r>
          </w:p>
        </w:tc>
        <w:tc>
          <w:tcPr>
            <w:tcW w:w="2481" w:type="dxa"/>
            <w:tcBorders>
              <w:top w:val="single" w:sz="8" w:space="0" w:color="auto"/>
            </w:tcBorders>
            <w:shd w:val="clear" w:color="auto" w:fill="DEEAF6" w:themeFill="accent5" w:themeFillTint="33"/>
            <w:vAlign w:val="bottom"/>
          </w:tcPr>
          <w:p w14:paraId="76FA7B51" w14:textId="5AACCC13" w:rsidR="00780E6A" w:rsidRPr="00780E6A" w:rsidRDefault="00780E6A" w:rsidP="00780E6A">
            <w:pPr>
              <w:spacing w:after="0"/>
              <w:ind w:right="640"/>
              <w:jc w:val="right"/>
              <w:rPr>
                <w:rFonts w:cstheme="minorHAnsi"/>
                <w:color w:val="000000"/>
              </w:rPr>
            </w:pPr>
            <w:r w:rsidRPr="00780E6A">
              <w:rPr>
                <w:rFonts w:cstheme="minorHAnsi"/>
                <w:b/>
                <w:bCs/>
                <w:color w:val="000000"/>
              </w:rPr>
              <w:t>15.000</w:t>
            </w:r>
          </w:p>
        </w:tc>
      </w:tr>
      <w:tr w:rsidR="00780E6A" w:rsidRPr="00780E6A" w14:paraId="0425DF67" w14:textId="0259C332" w:rsidTr="00780E6A">
        <w:trPr>
          <w:trHeight w:val="278"/>
          <w:jc w:val="center"/>
        </w:trPr>
        <w:tc>
          <w:tcPr>
            <w:tcW w:w="3818" w:type="dxa"/>
            <w:shd w:val="clear" w:color="auto" w:fill="9CC2E5" w:themeFill="accent5" w:themeFillTint="99"/>
            <w:noWrap/>
            <w:vAlign w:val="center"/>
            <w:hideMark/>
          </w:tcPr>
          <w:p w14:paraId="329B576C" w14:textId="7D942371" w:rsidR="00780E6A" w:rsidRPr="00780E6A" w:rsidRDefault="00780E6A" w:rsidP="00780E6A">
            <w:pPr>
              <w:spacing w:after="0"/>
              <w:rPr>
                <w:rFonts w:cstheme="minorHAnsi"/>
                <w:color w:val="000000"/>
                <w:lang w:eastAsia="sl-SI"/>
              </w:rPr>
            </w:pPr>
            <w:r w:rsidRPr="00780E6A">
              <w:rPr>
                <w:rFonts w:cstheme="minorHAnsi"/>
                <w:color w:val="000000"/>
                <w:lang w:eastAsia="sl-SI"/>
              </w:rPr>
              <w:t>8. Stroški redarske službe, reševalcev</w:t>
            </w:r>
          </w:p>
        </w:tc>
        <w:tc>
          <w:tcPr>
            <w:tcW w:w="2551" w:type="dxa"/>
            <w:tcBorders>
              <w:right w:val="single" w:sz="2" w:space="0" w:color="auto"/>
            </w:tcBorders>
            <w:shd w:val="clear" w:color="auto" w:fill="9CC2E5" w:themeFill="accent5" w:themeFillTint="99"/>
            <w:noWrap/>
            <w:vAlign w:val="bottom"/>
            <w:hideMark/>
          </w:tcPr>
          <w:p w14:paraId="0C758F2C" w14:textId="3CE19D13" w:rsidR="00780E6A" w:rsidRPr="00780E6A" w:rsidRDefault="00780E6A" w:rsidP="00780E6A">
            <w:pPr>
              <w:spacing w:after="0"/>
              <w:ind w:right="640"/>
              <w:jc w:val="right"/>
              <w:rPr>
                <w:rFonts w:cstheme="minorHAnsi"/>
                <w:color w:val="000000"/>
              </w:rPr>
            </w:pPr>
            <w:r w:rsidRPr="00780E6A">
              <w:rPr>
                <w:rFonts w:cstheme="minorHAnsi"/>
                <w:color w:val="000000"/>
              </w:rPr>
              <w:t> </w:t>
            </w:r>
          </w:p>
        </w:tc>
        <w:tc>
          <w:tcPr>
            <w:tcW w:w="2481" w:type="dxa"/>
            <w:tcBorders>
              <w:left w:val="single" w:sz="2" w:space="0" w:color="auto"/>
              <w:right w:val="single" w:sz="2" w:space="0" w:color="auto"/>
            </w:tcBorders>
            <w:shd w:val="clear" w:color="auto" w:fill="9CC2E5" w:themeFill="accent5" w:themeFillTint="99"/>
            <w:noWrap/>
            <w:vAlign w:val="bottom"/>
            <w:hideMark/>
          </w:tcPr>
          <w:p w14:paraId="150242A9" w14:textId="45397AFD" w:rsidR="00780E6A" w:rsidRPr="00780E6A" w:rsidRDefault="00780E6A" w:rsidP="00780E6A">
            <w:pPr>
              <w:spacing w:after="0"/>
              <w:ind w:right="640"/>
              <w:jc w:val="right"/>
              <w:rPr>
                <w:rFonts w:cstheme="minorHAnsi"/>
                <w:color w:val="000000"/>
              </w:rPr>
            </w:pPr>
            <w:r w:rsidRPr="00780E6A">
              <w:rPr>
                <w:rFonts w:cstheme="minorHAnsi"/>
                <w:color w:val="000000"/>
              </w:rPr>
              <w:t> </w:t>
            </w:r>
          </w:p>
        </w:tc>
        <w:tc>
          <w:tcPr>
            <w:tcW w:w="2480" w:type="dxa"/>
            <w:tcBorders>
              <w:left w:val="single" w:sz="2" w:space="0" w:color="auto"/>
            </w:tcBorders>
            <w:shd w:val="clear" w:color="auto" w:fill="9CC2E5" w:themeFill="accent5" w:themeFillTint="99"/>
            <w:noWrap/>
            <w:vAlign w:val="bottom"/>
            <w:hideMark/>
          </w:tcPr>
          <w:p w14:paraId="12C3FF4D" w14:textId="551B3448" w:rsidR="00780E6A" w:rsidRPr="00780E6A" w:rsidRDefault="00780E6A" w:rsidP="00780E6A">
            <w:pPr>
              <w:spacing w:after="0"/>
              <w:ind w:right="640"/>
              <w:jc w:val="right"/>
              <w:rPr>
                <w:rFonts w:cstheme="minorHAnsi"/>
                <w:color w:val="000000"/>
              </w:rPr>
            </w:pPr>
            <w:r w:rsidRPr="00780E6A">
              <w:rPr>
                <w:rFonts w:cstheme="minorHAnsi"/>
                <w:color w:val="000000"/>
              </w:rPr>
              <w:t>5.000</w:t>
            </w:r>
          </w:p>
        </w:tc>
        <w:tc>
          <w:tcPr>
            <w:tcW w:w="2481" w:type="dxa"/>
            <w:shd w:val="clear" w:color="auto" w:fill="9CC2E5" w:themeFill="accent5" w:themeFillTint="99"/>
            <w:vAlign w:val="bottom"/>
          </w:tcPr>
          <w:p w14:paraId="48A216E0" w14:textId="2BE5AED7" w:rsidR="00780E6A" w:rsidRPr="00780E6A" w:rsidRDefault="00780E6A" w:rsidP="00780E6A">
            <w:pPr>
              <w:spacing w:after="0"/>
              <w:ind w:right="640"/>
              <w:jc w:val="right"/>
              <w:rPr>
                <w:rFonts w:cstheme="minorHAnsi"/>
                <w:color w:val="000000"/>
              </w:rPr>
            </w:pPr>
            <w:r w:rsidRPr="00780E6A">
              <w:rPr>
                <w:rFonts w:cstheme="minorHAnsi"/>
                <w:b/>
                <w:bCs/>
                <w:color w:val="000000"/>
              </w:rPr>
              <w:t>5.000</w:t>
            </w:r>
          </w:p>
        </w:tc>
      </w:tr>
      <w:tr w:rsidR="00780E6A" w:rsidRPr="00780E6A" w14:paraId="50D38AC7" w14:textId="0D5474AF" w:rsidTr="00780E6A">
        <w:trPr>
          <w:trHeight w:val="278"/>
          <w:jc w:val="center"/>
        </w:trPr>
        <w:tc>
          <w:tcPr>
            <w:tcW w:w="3818" w:type="dxa"/>
            <w:tcBorders>
              <w:bottom w:val="single" w:sz="8" w:space="0" w:color="auto"/>
            </w:tcBorders>
            <w:shd w:val="clear" w:color="auto" w:fill="DEEAF6" w:themeFill="accent5" w:themeFillTint="33"/>
            <w:noWrap/>
            <w:vAlign w:val="center"/>
            <w:hideMark/>
          </w:tcPr>
          <w:p w14:paraId="3BF82F43" w14:textId="046CB63A" w:rsidR="00780E6A" w:rsidRPr="00780E6A" w:rsidRDefault="00780E6A" w:rsidP="00780E6A">
            <w:pPr>
              <w:spacing w:after="0"/>
              <w:rPr>
                <w:rFonts w:cstheme="minorHAnsi"/>
                <w:lang w:eastAsia="sl-SI"/>
              </w:rPr>
            </w:pPr>
            <w:r w:rsidRPr="00780E6A">
              <w:rPr>
                <w:rFonts w:cstheme="minorHAnsi"/>
                <w:lang w:eastAsia="sl-SI"/>
              </w:rPr>
              <w:t>9. Ostali stroški</w:t>
            </w:r>
          </w:p>
        </w:tc>
        <w:tc>
          <w:tcPr>
            <w:tcW w:w="2551" w:type="dxa"/>
            <w:tcBorders>
              <w:bottom w:val="single" w:sz="8" w:space="0" w:color="auto"/>
              <w:right w:val="single" w:sz="2" w:space="0" w:color="auto"/>
            </w:tcBorders>
            <w:shd w:val="clear" w:color="auto" w:fill="DEEAF6" w:themeFill="accent5" w:themeFillTint="33"/>
            <w:noWrap/>
            <w:vAlign w:val="bottom"/>
            <w:hideMark/>
          </w:tcPr>
          <w:p w14:paraId="3B39E3B3" w14:textId="042174C4" w:rsidR="00780E6A" w:rsidRPr="00780E6A" w:rsidRDefault="00780E6A" w:rsidP="00780E6A">
            <w:pPr>
              <w:spacing w:after="0"/>
              <w:ind w:right="640"/>
              <w:jc w:val="right"/>
              <w:rPr>
                <w:rFonts w:cstheme="minorHAnsi"/>
                <w:color w:val="000000"/>
              </w:rPr>
            </w:pPr>
            <w:r w:rsidRPr="00780E6A">
              <w:rPr>
                <w:rFonts w:cstheme="minorHAnsi"/>
                <w:color w:val="000000"/>
              </w:rPr>
              <w:t> </w:t>
            </w:r>
          </w:p>
        </w:tc>
        <w:tc>
          <w:tcPr>
            <w:tcW w:w="2481" w:type="dxa"/>
            <w:tcBorders>
              <w:left w:val="single" w:sz="2" w:space="0" w:color="auto"/>
              <w:bottom w:val="single" w:sz="8" w:space="0" w:color="auto"/>
              <w:right w:val="single" w:sz="2" w:space="0" w:color="auto"/>
            </w:tcBorders>
            <w:shd w:val="clear" w:color="auto" w:fill="DEEAF6" w:themeFill="accent5" w:themeFillTint="33"/>
            <w:noWrap/>
            <w:vAlign w:val="bottom"/>
            <w:hideMark/>
          </w:tcPr>
          <w:p w14:paraId="36E11302" w14:textId="338DD3B2" w:rsidR="00780E6A" w:rsidRPr="00780E6A" w:rsidRDefault="00780E6A" w:rsidP="00780E6A">
            <w:pPr>
              <w:spacing w:after="0"/>
              <w:ind w:right="640"/>
              <w:jc w:val="right"/>
              <w:rPr>
                <w:rFonts w:cstheme="minorHAnsi"/>
                <w:color w:val="000000"/>
              </w:rPr>
            </w:pPr>
            <w:r w:rsidRPr="00780E6A">
              <w:rPr>
                <w:rFonts w:cstheme="minorHAnsi"/>
                <w:color w:val="000000"/>
              </w:rPr>
              <w:t> </w:t>
            </w:r>
          </w:p>
        </w:tc>
        <w:tc>
          <w:tcPr>
            <w:tcW w:w="2480" w:type="dxa"/>
            <w:tcBorders>
              <w:left w:val="single" w:sz="2" w:space="0" w:color="auto"/>
              <w:bottom w:val="single" w:sz="8" w:space="0" w:color="auto"/>
            </w:tcBorders>
            <w:shd w:val="clear" w:color="auto" w:fill="DEEAF6" w:themeFill="accent5" w:themeFillTint="33"/>
            <w:noWrap/>
            <w:vAlign w:val="bottom"/>
            <w:hideMark/>
          </w:tcPr>
          <w:p w14:paraId="73A30A6A" w14:textId="723C82A3" w:rsidR="00780E6A" w:rsidRPr="00780E6A" w:rsidRDefault="00780E6A" w:rsidP="00780E6A">
            <w:pPr>
              <w:spacing w:after="0"/>
              <w:ind w:right="640"/>
              <w:jc w:val="right"/>
              <w:rPr>
                <w:rFonts w:cstheme="minorHAnsi"/>
                <w:color w:val="000000"/>
              </w:rPr>
            </w:pPr>
            <w:r w:rsidRPr="00780E6A">
              <w:rPr>
                <w:rFonts w:cstheme="minorHAnsi"/>
                <w:color w:val="000000"/>
              </w:rPr>
              <w:t> </w:t>
            </w:r>
          </w:p>
        </w:tc>
        <w:tc>
          <w:tcPr>
            <w:tcW w:w="2481" w:type="dxa"/>
            <w:tcBorders>
              <w:bottom w:val="single" w:sz="8" w:space="0" w:color="auto"/>
            </w:tcBorders>
            <w:shd w:val="clear" w:color="auto" w:fill="DEEAF6" w:themeFill="accent5" w:themeFillTint="33"/>
            <w:vAlign w:val="bottom"/>
          </w:tcPr>
          <w:p w14:paraId="7C0D17DD" w14:textId="5EE16254" w:rsidR="00780E6A" w:rsidRPr="00780E6A" w:rsidRDefault="00780E6A" w:rsidP="00780E6A">
            <w:pPr>
              <w:spacing w:after="0"/>
              <w:ind w:right="640"/>
              <w:jc w:val="right"/>
              <w:rPr>
                <w:rFonts w:cstheme="minorHAnsi"/>
                <w:color w:val="000000"/>
              </w:rPr>
            </w:pPr>
            <w:r w:rsidRPr="00780E6A">
              <w:rPr>
                <w:rFonts w:cstheme="minorHAnsi"/>
                <w:b/>
                <w:bCs/>
                <w:color w:val="000000"/>
              </w:rPr>
              <w:t>0</w:t>
            </w:r>
          </w:p>
        </w:tc>
      </w:tr>
      <w:tr w:rsidR="00780E6A" w:rsidRPr="00780E6A" w14:paraId="12C16524" w14:textId="1D5985A1" w:rsidTr="00780E6A">
        <w:trPr>
          <w:trHeight w:val="278"/>
          <w:jc w:val="center"/>
        </w:trPr>
        <w:tc>
          <w:tcPr>
            <w:tcW w:w="3818" w:type="dxa"/>
            <w:tcBorders>
              <w:top w:val="single" w:sz="8" w:space="0" w:color="auto"/>
            </w:tcBorders>
            <w:shd w:val="clear" w:color="auto" w:fill="9CC2E5" w:themeFill="accent5" w:themeFillTint="99"/>
            <w:noWrap/>
            <w:vAlign w:val="bottom"/>
            <w:hideMark/>
          </w:tcPr>
          <w:p w14:paraId="46B4146C" w14:textId="7C9BC12C" w:rsidR="00780E6A" w:rsidRPr="00780E6A" w:rsidRDefault="00780E6A" w:rsidP="00780E6A">
            <w:pPr>
              <w:spacing w:after="0"/>
              <w:rPr>
                <w:rFonts w:cstheme="minorHAnsi"/>
                <w:lang w:eastAsia="sl-SI"/>
              </w:rPr>
            </w:pPr>
            <w:r w:rsidRPr="00780E6A">
              <w:rPr>
                <w:rFonts w:cstheme="minorHAnsi"/>
                <w:lang w:eastAsia="sl-SI"/>
              </w:rPr>
              <w:t>10. Izredni stroški</w:t>
            </w:r>
          </w:p>
        </w:tc>
        <w:tc>
          <w:tcPr>
            <w:tcW w:w="2551" w:type="dxa"/>
            <w:tcBorders>
              <w:top w:val="single" w:sz="8" w:space="0" w:color="auto"/>
              <w:right w:val="single" w:sz="2" w:space="0" w:color="auto"/>
            </w:tcBorders>
            <w:shd w:val="clear" w:color="auto" w:fill="9CC2E5" w:themeFill="accent5" w:themeFillTint="99"/>
            <w:noWrap/>
            <w:vAlign w:val="bottom"/>
            <w:hideMark/>
          </w:tcPr>
          <w:p w14:paraId="05804150" w14:textId="3C61F591" w:rsidR="00780E6A" w:rsidRPr="00780E6A" w:rsidRDefault="00780E6A" w:rsidP="00780E6A">
            <w:pPr>
              <w:spacing w:after="0"/>
              <w:ind w:right="640"/>
              <w:jc w:val="right"/>
              <w:rPr>
                <w:rFonts w:cstheme="minorHAnsi"/>
                <w:color w:val="000000"/>
              </w:rPr>
            </w:pPr>
            <w:r w:rsidRPr="00780E6A">
              <w:rPr>
                <w:rFonts w:cstheme="minorHAnsi"/>
                <w:color w:val="000000"/>
              </w:rPr>
              <w:t>10.000</w:t>
            </w:r>
          </w:p>
        </w:tc>
        <w:tc>
          <w:tcPr>
            <w:tcW w:w="2481" w:type="dxa"/>
            <w:tcBorders>
              <w:top w:val="single" w:sz="8" w:space="0" w:color="auto"/>
              <w:left w:val="single" w:sz="2" w:space="0" w:color="auto"/>
              <w:right w:val="single" w:sz="2" w:space="0" w:color="auto"/>
            </w:tcBorders>
            <w:shd w:val="clear" w:color="auto" w:fill="9CC2E5" w:themeFill="accent5" w:themeFillTint="99"/>
            <w:noWrap/>
            <w:vAlign w:val="bottom"/>
            <w:hideMark/>
          </w:tcPr>
          <w:p w14:paraId="245657E1" w14:textId="1E925934" w:rsidR="00780E6A" w:rsidRPr="00780E6A" w:rsidRDefault="00780E6A" w:rsidP="00780E6A">
            <w:pPr>
              <w:spacing w:after="0"/>
              <w:ind w:right="640"/>
              <w:jc w:val="right"/>
              <w:rPr>
                <w:rFonts w:cstheme="minorHAnsi"/>
                <w:color w:val="000000"/>
              </w:rPr>
            </w:pPr>
            <w:r w:rsidRPr="00780E6A">
              <w:rPr>
                <w:rFonts w:cstheme="minorHAnsi"/>
                <w:color w:val="000000"/>
              </w:rPr>
              <w:t>2.000</w:t>
            </w:r>
          </w:p>
        </w:tc>
        <w:tc>
          <w:tcPr>
            <w:tcW w:w="2480" w:type="dxa"/>
            <w:tcBorders>
              <w:top w:val="single" w:sz="8" w:space="0" w:color="auto"/>
              <w:left w:val="single" w:sz="2" w:space="0" w:color="auto"/>
            </w:tcBorders>
            <w:shd w:val="clear" w:color="auto" w:fill="9CC2E5" w:themeFill="accent5" w:themeFillTint="99"/>
            <w:noWrap/>
            <w:vAlign w:val="bottom"/>
            <w:hideMark/>
          </w:tcPr>
          <w:p w14:paraId="1F7626F6" w14:textId="7480B968" w:rsidR="00780E6A" w:rsidRPr="00780E6A" w:rsidRDefault="00780E6A" w:rsidP="00780E6A">
            <w:pPr>
              <w:spacing w:after="0"/>
              <w:ind w:right="640"/>
              <w:jc w:val="right"/>
              <w:rPr>
                <w:rFonts w:cstheme="minorHAnsi"/>
                <w:color w:val="000000"/>
              </w:rPr>
            </w:pPr>
            <w:r w:rsidRPr="00780E6A">
              <w:rPr>
                <w:rFonts w:cstheme="minorHAnsi"/>
                <w:color w:val="000000"/>
              </w:rPr>
              <w:t>5.000</w:t>
            </w:r>
          </w:p>
        </w:tc>
        <w:tc>
          <w:tcPr>
            <w:tcW w:w="2481" w:type="dxa"/>
            <w:tcBorders>
              <w:top w:val="single" w:sz="8" w:space="0" w:color="auto"/>
            </w:tcBorders>
            <w:shd w:val="clear" w:color="auto" w:fill="9CC2E5" w:themeFill="accent5" w:themeFillTint="99"/>
            <w:vAlign w:val="bottom"/>
          </w:tcPr>
          <w:p w14:paraId="0E682D36" w14:textId="39311020" w:rsidR="00780E6A" w:rsidRPr="00780E6A" w:rsidRDefault="00780E6A" w:rsidP="00780E6A">
            <w:pPr>
              <w:spacing w:after="0"/>
              <w:ind w:right="640"/>
              <w:jc w:val="right"/>
              <w:rPr>
                <w:rFonts w:cstheme="minorHAnsi"/>
                <w:color w:val="000000"/>
              </w:rPr>
            </w:pPr>
            <w:r w:rsidRPr="00780E6A">
              <w:rPr>
                <w:rFonts w:cstheme="minorHAnsi"/>
                <w:b/>
                <w:bCs/>
                <w:color w:val="000000"/>
              </w:rPr>
              <w:t>17.000</w:t>
            </w:r>
          </w:p>
        </w:tc>
      </w:tr>
      <w:tr w:rsidR="00780E6A" w:rsidRPr="00780E6A" w14:paraId="4C65571D" w14:textId="4D9B1B2D" w:rsidTr="00780E6A">
        <w:trPr>
          <w:trHeight w:val="278"/>
          <w:jc w:val="center"/>
        </w:trPr>
        <w:tc>
          <w:tcPr>
            <w:tcW w:w="3818" w:type="dxa"/>
            <w:shd w:val="clear" w:color="auto" w:fill="92D050"/>
            <w:noWrap/>
            <w:vAlign w:val="center"/>
            <w:hideMark/>
          </w:tcPr>
          <w:p w14:paraId="2051CB48" w14:textId="06F14593" w:rsidR="00780E6A" w:rsidRPr="00780E6A" w:rsidRDefault="00780E6A" w:rsidP="00780E6A">
            <w:pPr>
              <w:spacing w:after="0"/>
              <w:rPr>
                <w:rFonts w:cstheme="minorHAnsi"/>
                <w:b/>
                <w:bCs/>
                <w:lang w:eastAsia="sl-SI"/>
              </w:rPr>
            </w:pPr>
            <w:r w:rsidRPr="00780E6A">
              <w:rPr>
                <w:rFonts w:cstheme="minorHAnsi"/>
                <w:b/>
                <w:bCs/>
                <w:lang w:eastAsia="sl-SI"/>
              </w:rPr>
              <w:t>Skupaj brez amortizacije</w:t>
            </w:r>
          </w:p>
        </w:tc>
        <w:tc>
          <w:tcPr>
            <w:tcW w:w="2551" w:type="dxa"/>
            <w:tcBorders>
              <w:right w:val="single" w:sz="2" w:space="0" w:color="auto"/>
            </w:tcBorders>
            <w:shd w:val="clear" w:color="auto" w:fill="92D050"/>
            <w:noWrap/>
            <w:vAlign w:val="bottom"/>
            <w:hideMark/>
          </w:tcPr>
          <w:p w14:paraId="7CF03B48" w14:textId="1E2D557C" w:rsidR="00780E6A" w:rsidRPr="00780E6A" w:rsidRDefault="00780E6A" w:rsidP="00780E6A">
            <w:pPr>
              <w:spacing w:after="0"/>
              <w:ind w:right="640"/>
              <w:jc w:val="right"/>
              <w:rPr>
                <w:rFonts w:cstheme="minorHAnsi"/>
                <w:b/>
                <w:bCs/>
                <w:color w:val="000000"/>
              </w:rPr>
            </w:pPr>
            <w:r w:rsidRPr="00780E6A">
              <w:rPr>
                <w:rFonts w:cstheme="minorHAnsi"/>
                <w:b/>
                <w:bCs/>
                <w:color w:val="000000"/>
              </w:rPr>
              <w:t>126.190</w:t>
            </w:r>
          </w:p>
        </w:tc>
        <w:tc>
          <w:tcPr>
            <w:tcW w:w="2481" w:type="dxa"/>
            <w:tcBorders>
              <w:left w:val="single" w:sz="2" w:space="0" w:color="auto"/>
              <w:right w:val="single" w:sz="2" w:space="0" w:color="auto"/>
            </w:tcBorders>
            <w:shd w:val="clear" w:color="auto" w:fill="92D050"/>
            <w:noWrap/>
            <w:vAlign w:val="bottom"/>
            <w:hideMark/>
          </w:tcPr>
          <w:p w14:paraId="271F26DA" w14:textId="301099A3" w:rsidR="00780E6A" w:rsidRPr="00780E6A" w:rsidRDefault="00780E6A" w:rsidP="00780E6A">
            <w:pPr>
              <w:spacing w:after="0"/>
              <w:ind w:right="640"/>
              <w:jc w:val="right"/>
              <w:rPr>
                <w:rFonts w:cstheme="minorHAnsi"/>
                <w:b/>
                <w:bCs/>
                <w:color w:val="000000"/>
              </w:rPr>
            </w:pPr>
            <w:r w:rsidRPr="00780E6A">
              <w:rPr>
                <w:rFonts w:cstheme="minorHAnsi"/>
                <w:b/>
                <w:bCs/>
                <w:color w:val="000000"/>
              </w:rPr>
              <w:t>70.938</w:t>
            </w:r>
          </w:p>
        </w:tc>
        <w:tc>
          <w:tcPr>
            <w:tcW w:w="2480" w:type="dxa"/>
            <w:tcBorders>
              <w:left w:val="single" w:sz="2" w:space="0" w:color="auto"/>
            </w:tcBorders>
            <w:shd w:val="clear" w:color="auto" w:fill="92D050"/>
            <w:noWrap/>
            <w:vAlign w:val="bottom"/>
            <w:hideMark/>
          </w:tcPr>
          <w:p w14:paraId="71225009" w14:textId="20F0A700" w:rsidR="00780E6A" w:rsidRPr="00780E6A" w:rsidRDefault="00780E6A" w:rsidP="00780E6A">
            <w:pPr>
              <w:spacing w:after="0"/>
              <w:ind w:right="640"/>
              <w:jc w:val="right"/>
              <w:rPr>
                <w:rFonts w:cstheme="minorHAnsi"/>
                <w:b/>
                <w:bCs/>
                <w:color w:val="000000"/>
              </w:rPr>
            </w:pPr>
            <w:r w:rsidRPr="00780E6A">
              <w:rPr>
                <w:rFonts w:cstheme="minorHAnsi"/>
                <w:b/>
                <w:bCs/>
                <w:color w:val="000000"/>
              </w:rPr>
              <w:t>101.614</w:t>
            </w:r>
          </w:p>
        </w:tc>
        <w:tc>
          <w:tcPr>
            <w:tcW w:w="2481" w:type="dxa"/>
            <w:shd w:val="clear" w:color="auto" w:fill="92D050"/>
            <w:vAlign w:val="bottom"/>
          </w:tcPr>
          <w:p w14:paraId="526E6DC8" w14:textId="72DF9C3D" w:rsidR="00780E6A" w:rsidRPr="00780E6A" w:rsidRDefault="00780E6A" w:rsidP="00780E6A">
            <w:pPr>
              <w:spacing w:after="0"/>
              <w:ind w:right="640"/>
              <w:jc w:val="right"/>
              <w:rPr>
                <w:rFonts w:cstheme="minorHAnsi"/>
                <w:b/>
                <w:bCs/>
                <w:color w:val="000000"/>
              </w:rPr>
            </w:pPr>
            <w:r w:rsidRPr="00780E6A">
              <w:rPr>
                <w:rFonts w:cstheme="minorHAnsi"/>
                <w:b/>
                <w:bCs/>
                <w:color w:val="000000"/>
              </w:rPr>
              <w:t>298.742</w:t>
            </w:r>
          </w:p>
        </w:tc>
      </w:tr>
      <w:tr w:rsidR="00711341" w:rsidRPr="00780E6A" w14:paraId="0B76506F" w14:textId="717662BA" w:rsidTr="00711341">
        <w:trPr>
          <w:trHeight w:val="278"/>
          <w:jc w:val="center"/>
        </w:trPr>
        <w:tc>
          <w:tcPr>
            <w:tcW w:w="3818" w:type="dxa"/>
            <w:shd w:val="clear" w:color="auto" w:fill="auto"/>
            <w:noWrap/>
            <w:vAlign w:val="center"/>
          </w:tcPr>
          <w:p w14:paraId="15386893" w14:textId="77777777" w:rsidR="00711341" w:rsidRPr="00780E6A" w:rsidRDefault="00711341" w:rsidP="00DE5E6D">
            <w:pPr>
              <w:spacing w:after="0"/>
              <w:rPr>
                <w:rFonts w:cstheme="minorHAnsi"/>
                <w:b/>
                <w:bCs/>
                <w:lang w:eastAsia="sl-SI"/>
              </w:rPr>
            </w:pPr>
          </w:p>
        </w:tc>
        <w:tc>
          <w:tcPr>
            <w:tcW w:w="2551" w:type="dxa"/>
            <w:tcBorders>
              <w:right w:val="single" w:sz="2" w:space="0" w:color="auto"/>
            </w:tcBorders>
            <w:shd w:val="clear" w:color="auto" w:fill="auto"/>
            <w:noWrap/>
            <w:vAlign w:val="bottom"/>
          </w:tcPr>
          <w:p w14:paraId="3010940A" w14:textId="77777777" w:rsidR="00711341" w:rsidRPr="00780E6A" w:rsidRDefault="00711341" w:rsidP="00780E6A">
            <w:pPr>
              <w:spacing w:after="0"/>
              <w:ind w:right="314"/>
              <w:jc w:val="right"/>
              <w:rPr>
                <w:rFonts w:cstheme="minorHAnsi"/>
                <w:b/>
                <w:bCs/>
                <w:color w:val="000000"/>
              </w:rPr>
            </w:pPr>
          </w:p>
        </w:tc>
        <w:tc>
          <w:tcPr>
            <w:tcW w:w="2481" w:type="dxa"/>
            <w:tcBorders>
              <w:left w:val="single" w:sz="2" w:space="0" w:color="auto"/>
              <w:right w:val="single" w:sz="2" w:space="0" w:color="auto"/>
            </w:tcBorders>
            <w:shd w:val="clear" w:color="auto" w:fill="auto"/>
            <w:noWrap/>
            <w:vAlign w:val="bottom"/>
          </w:tcPr>
          <w:p w14:paraId="070C05CC" w14:textId="77777777" w:rsidR="00711341" w:rsidRPr="00780E6A" w:rsidRDefault="00711341" w:rsidP="00780E6A">
            <w:pPr>
              <w:spacing w:after="0"/>
              <w:ind w:right="314"/>
              <w:jc w:val="right"/>
              <w:rPr>
                <w:rFonts w:cstheme="minorHAnsi"/>
                <w:b/>
                <w:bCs/>
                <w:color w:val="000000"/>
              </w:rPr>
            </w:pPr>
          </w:p>
        </w:tc>
        <w:tc>
          <w:tcPr>
            <w:tcW w:w="2480" w:type="dxa"/>
            <w:tcBorders>
              <w:left w:val="single" w:sz="2" w:space="0" w:color="auto"/>
            </w:tcBorders>
            <w:shd w:val="clear" w:color="auto" w:fill="auto"/>
            <w:noWrap/>
            <w:vAlign w:val="bottom"/>
          </w:tcPr>
          <w:p w14:paraId="7347257E" w14:textId="77777777" w:rsidR="00711341" w:rsidRPr="00780E6A" w:rsidRDefault="00711341" w:rsidP="00780E6A">
            <w:pPr>
              <w:spacing w:after="0"/>
              <w:ind w:right="314"/>
              <w:jc w:val="right"/>
              <w:rPr>
                <w:rFonts w:cstheme="minorHAnsi"/>
                <w:b/>
                <w:bCs/>
                <w:color w:val="000000"/>
              </w:rPr>
            </w:pPr>
          </w:p>
        </w:tc>
        <w:tc>
          <w:tcPr>
            <w:tcW w:w="2481" w:type="dxa"/>
            <w:vAlign w:val="bottom"/>
          </w:tcPr>
          <w:p w14:paraId="65B667F0" w14:textId="77777777" w:rsidR="00711341" w:rsidRPr="00780E6A" w:rsidRDefault="00711341" w:rsidP="00780E6A">
            <w:pPr>
              <w:spacing w:after="0"/>
              <w:ind w:right="314"/>
              <w:jc w:val="right"/>
              <w:rPr>
                <w:rFonts w:cstheme="minorHAnsi"/>
                <w:b/>
                <w:bCs/>
                <w:color w:val="000000"/>
              </w:rPr>
            </w:pPr>
          </w:p>
        </w:tc>
      </w:tr>
      <w:tr w:rsidR="00711341" w:rsidRPr="00780E6A" w14:paraId="1436160B" w14:textId="21BE5175" w:rsidTr="00711341">
        <w:trPr>
          <w:trHeight w:val="278"/>
          <w:jc w:val="center"/>
        </w:trPr>
        <w:tc>
          <w:tcPr>
            <w:tcW w:w="3818" w:type="dxa"/>
            <w:shd w:val="clear" w:color="auto" w:fill="F4B083" w:themeFill="accent2" w:themeFillTint="99"/>
            <w:noWrap/>
            <w:vAlign w:val="center"/>
          </w:tcPr>
          <w:p w14:paraId="14F4AB0C" w14:textId="435CD8FA" w:rsidR="00711341" w:rsidRPr="00780E6A" w:rsidRDefault="00711341" w:rsidP="00DE5E6D">
            <w:pPr>
              <w:spacing w:after="0"/>
              <w:rPr>
                <w:rFonts w:cstheme="minorHAnsi"/>
                <w:b/>
                <w:bCs/>
                <w:lang w:eastAsia="sl-SI"/>
              </w:rPr>
            </w:pPr>
            <w:r w:rsidRPr="00780E6A">
              <w:rPr>
                <w:rFonts w:cstheme="minorHAnsi"/>
                <w:b/>
                <w:bCs/>
                <w:lang w:eastAsia="sl-SI"/>
              </w:rPr>
              <w:t>Število mesecev / dni poslovanja</w:t>
            </w:r>
          </w:p>
        </w:tc>
        <w:tc>
          <w:tcPr>
            <w:tcW w:w="2551" w:type="dxa"/>
            <w:tcBorders>
              <w:right w:val="single" w:sz="2" w:space="0" w:color="auto"/>
            </w:tcBorders>
            <w:shd w:val="clear" w:color="auto" w:fill="F4B083" w:themeFill="accent2" w:themeFillTint="99"/>
            <w:noWrap/>
            <w:vAlign w:val="bottom"/>
          </w:tcPr>
          <w:p w14:paraId="0952B0AC" w14:textId="53471FD7" w:rsidR="00711341" w:rsidRPr="00780E6A" w:rsidRDefault="00711341" w:rsidP="00711341">
            <w:pPr>
              <w:spacing w:after="0"/>
              <w:ind w:right="314"/>
              <w:jc w:val="center"/>
              <w:rPr>
                <w:rFonts w:cstheme="minorHAnsi"/>
                <w:b/>
                <w:bCs/>
                <w:color w:val="000000"/>
              </w:rPr>
            </w:pPr>
            <w:r w:rsidRPr="00780E6A">
              <w:rPr>
                <w:rFonts w:cstheme="minorHAnsi"/>
                <w:b/>
                <w:bCs/>
                <w:color w:val="000000"/>
              </w:rPr>
              <w:t>10 mesecev</w:t>
            </w:r>
          </w:p>
        </w:tc>
        <w:tc>
          <w:tcPr>
            <w:tcW w:w="2481" w:type="dxa"/>
            <w:tcBorders>
              <w:left w:val="single" w:sz="2" w:space="0" w:color="auto"/>
              <w:right w:val="single" w:sz="2" w:space="0" w:color="auto"/>
            </w:tcBorders>
            <w:shd w:val="clear" w:color="auto" w:fill="F4B083" w:themeFill="accent2" w:themeFillTint="99"/>
            <w:noWrap/>
            <w:vAlign w:val="bottom"/>
          </w:tcPr>
          <w:p w14:paraId="44506AA2" w14:textId="008EB088" w:rsidR="00711341" w:rsidRPr="00780E6A" w:rsidRDefault="00711341" w:rsidP="00711341">
            <w:pPr>
              <w:spacing w:after="0"/>
              <w:ind w:right="314"/>
              <w:jc w:val="center"/>
              <w:rPr>
                <w:rFonts w:cstheme="minorHAnsi"/>
                <w:b/>
                <w:bCs/>
                <w:color w:val="000000"/>
              </w:rPr>
            </w:pPr>
            <w:r w:rsidRPr="00780E6A">
              <w:rPr>
                <w:rFonts w:cstheme="minorHAnsi"/>
                <w:b/>
                <w:bCs/>
                <w:color w:val="000000"/>
              </w:rPr>
              <w:t>15 dni</w:t>
            </w:r>
          </w:p>
        </w:tc>
        <w:tc>
          <w:tcPr>
            <w:tcW w:w="2480" w:type="dxa"/>
            <w:tcBorders>
              <w:left w:val="single" w:sz="2" w:space="0" w:color="auto"/>
            </w:tcBorders>
            <w:shd w:val="clear" w:color="auto" w:fill="F4B083" w:themeFill="accent2" w:themeFillTint="99"/>
            <w:noWrap/>
            <w:vAlign w:val="bottom"/>
          </w:tcPr>
          <w:p w14:paraId="5C17B2E0" w14:textId="717F9F20" w:rsidR="00711341" w:rsidRPr="00780E6A" w:rsidRDefault="00711341" w:rsidP="00711341">
            <w:pPr>
              <w:spacing w:after="0"/>
              <w:ind w:right="314"/>
              <w:jc w:val="center"/>
              <w:rPr>
                <w:rFonts w:cstheme="minorHAnsi"/>
                <w:b/>
                <w:bCs/>
                <w:color w:val="000000"/>
              </w:rPr>
            </w:pPr>
            <w:r w:rsidRPr="00780E6A">
              <w:rPr>
                <w:rFonts w:cstheme="minorHAnsi"/>
                <w:b/>
                <w:bCs/>
                <w:color w:val="000000"/>
              </w:rPr>
              <w:t>45 dni</w:t>
            </w:r>
          </w:p>
        </w:tc>
        <w:tc>
          <w:tcPr>
            <w:tcW w:w="2481" w:type="dxa"/>
            <w:shd w:val="clear" w:color="auto" w:fill="F4B083" w:themeFill="accent2" w:themeFillTint="99"/>
            <w:vAlign w:val="bottom"/>
          </w:tcPr>
          <w:p w14:paraId="1D47C53B" w14:textId="77777777" w:rsidR="00711341" w:rsidRPr="00780E6A" w:rsidRDefault="00711341" w:rsidP="00711341">
            <w:pPr>
              <w:spacing w:after="0"/>
              <w:ind w:right="314"/>
              <w:jc w:val="right"/>
              <w:rPr>
                <w:rFonts w:cstheme="minorHAnsi"/>
                <w:b/>
                <w:bCs/>
                <w:color w:val="000000"/>
              </w:rPr>
            </w:pPr>
          </w:p>
        </w:tc>
      </w:tr>
      <w:tr w:rsidR="00711341" w:rsidRPr="00780E6A" w14:paraId="73A3F022" w14:textId="65662619" w:rsidTr="00711341">
        <w:trPr>
          <w:trHeight w:val="278"/>
          <w:jc w:val="center"/>
        </w:trPr>
        <w:tc>
          <w:tcPr>
            <w:tcW w:w="3818" w:type="dxa"/>
            <w:shd w:val="clear" w:color="auto" w:fill="E2EFD9" w:themeFill="accent6" w:themeFillTint="33"/>
            <w:noWrap/>
            <w:vAlign w:val="center"/>
          </w:tcPr>
          <w:p w14:paraId="30CDC175" w14:textId="456F784A" w:rsidR="00711341" w:rsidRPr="00780E6A" w:rsidRDefault="00711341" w:rsidP="00DE5E6D">
            <w:pPr>
              <w:spacing w:after="0"/>
              <w:rPr>
                <w:rFonts w:cstheme="minorHAnsi"/>
                <w:b/>
                <w:bCs/>
                <w:lang w:eastAsia="sl-SI"/>
              </w:rPr>
            </w:pPr>
            <w:r w:rsidRPr="00780E6A">
              <w:rPr>
                <w:rFonts w:cstheme="minorHAnsi"/>
                <w:b/>
                <w:bCs/>
                <w:lang w:eastAsia="sl-SI"/>
              </w:rPr>
              <w:t>Vrsta stroška</w:t>
            </w:r>
          </w:p>
        </w:tc>
        <w:tc>
          <w:tcPr>
            <w:tcW w:w="2551" w:type="dxa"/>
            <w:tcBorders>
              <w:right w:val="single" w:sz="2" w:space="0" w:color="auto"/>
            </w:tcBorders>
            <w:shd w:val="clear" w:color="auto" w:fill="E2EFD9" w:themeFill="accent6" w:themeFillTint="33"/>
            <w:noWrap/>
            <w:vAlign w:val="bottom"/>
          </w:tcPr>
          <w:p w14:paraId="608364AB" w14:textId="48088AB5" w:rsidR="00711341" w:rsidRPr="00780E6A" w:rsidRDefault="00711341" w:rsidP="00711341">
            <w:pPr>
              <w:spacing w:after="0"/>
              <w:ind w:right="314"/>
              <w:jc w:val="center"/>
              <w:rPr>
                <w:rFonts w:cstheme="minorHAnsi"/>
                <w:b/>
                <w:bCs/>
                <w:color w:val="000000"/>
              </w:rPr>
            </w:pPr>
            <w:r w:rsidRPr="00780E6A">
              <w:rPr>
                <w:rFonts w:cstheme="minorHAnsi"/>
                <w:b/>
                <w:bCs/>
                <w:color w:val="000000"/>
              </w:rPr>
              <w:t>Fiksni</w:t>
            </w:r>
          </w:p>
        </w:tc>
        <w:tc>
          <w:tcPr>
            <w:tcW w:w="2481" w:type="dxa"/>
            <w:tcBorders>
              <w:left w:val="single" w:sz="2" w:space="0" w:color="auto"/>
              <w:right w:val="single" w:sz="2" w:space="0" w:color="auto"/>
            </w:tcBorders>
            <w:shd w:val="clear" w:color="auto" w:fill="E2EFD9" w:themeFill="accent6" w:themeFillTint="33"/>
            <w:noWrap/>
            <w:vAlign w:val="bottom"/>
          </w:tcPr>
          <w:p w14:paraId="2BB9D2AF" w14:textId="37A2661B" w:rsidR="00711341" w:rsidRPr="00780E6A" w:rsidRDefault="00711341" w:rsidP="00711341">
            <w:pPr>
              <w:spacing w:after="0"/>
              <w:ind w:right="314"/>
              <w:jc w:val="center"/>
              <w:rPr>
                <w:rFonts w:cstheme="minorHAnsi"/>
                <w:b/>
                <w:bCs/>
                <w:color w:val="000000"/>
              </w:rPr>
            </w:pPr>
            <w:r w:rsidRPr="00780E6A">
              <w:rPr>
                <w:rFonts w:cstheme="minorHAnsi"/>
                <w:b/>
                <w:bCs/>
                <w:color w:val="000000"/>
              </w:rPr>
              <w:t>Fiksni in variabilni</w:t>
            </w:r>
          </w:p>
        </w:tc>
        <w:tc>
          <w:tcPr>
            <w:tcW w:w="2480" w:type="dxa"/>
            <w:tcBorders>
              <w:left w:val="single" w:sz="2" w:space="0" w:color="auto"/>
            </w:tcBorders>
            <w:shd w:val="clear" w:color="auto" w:fill="E2EFD9" w:themeFill="accent6" w:themeFillTint="33"/>
            <w:noWrap/>
            <w:vAlign w:val="bottom"/>
          </w:tcPr>
          <w:p w14:paraId="12D43FE5" w14:textId="7EA9EAEC" w:rsidR="00711341" w:rsidRPr="00780E6A" w:rsidRDefault="00711341" w:rsidP="00711341">
            <w:pPr>
              <w:spacing w:after="0"/>
              <w:ind w:right="314"/>
              <w:jc w:val="center"/>
              <w:rPr>
                <w:rFonts w:cstheme="minorHAnsi"/>
                <w:b/>
                <w:bCs/>
                <w:color w:val="000000"/>
              </w:rPr>
            </w:pPr>
            <w:r w:rsidRPr="00780E6A">
              <w:rPr>
                <w:rFonts w:cstheme="minorHAnsi"/>
                <w:b/>
                <w:bCs/>
                <w:color w:val="000000"/>
              </w:rPr>
              <w:t>Variabilni</w:t>
            </w:r>
          </w:p>
        </w:tc>
        <w:tc>
          <w:tcPr>
            <w:tcW w:w="2481" w:type="dxa"/>
            <w:shd w:val="clear" w:color="auto" w:fill="E2EFD9" w:themeFill="accent6" w:themeFillTint="33"/>
            <w:vAlign w:val="bottom"/>
          </w:tcPr>
          <w:p w14:paraId="1AD079BB" w14:textId="77777777" w:rsidR="00711341" w:rsidRPr="00780E6A" w:rsidRDefault="00711341" w:rsidP="00711341">
            <w:pPr>
              <w:spacing w:after="0"/>
              <w:ind w:right="314"/>
              <w:jc w:val="right"/>
              <w:rPr>
                <w:rFonts w:cstheme="minorHAnsi"/>
                <w:b/>
                <w:bCs/>
                <w:color w:val="000000"/>
              </w:rPr>
            </w:pPr>
          </w:p>
        </w:tc>
      </w:tr>
    </w:tbl>
    <w:p w14:paraId="48C01122" w14:textId="77777777" w:rsidR="00711341" w:rsidRDefault="00711341" w:rsidP="00005464">
      <w:pPr>
        <w:sectPr w:rsidR="00711341" w:rsidSect="00561AC4">
          <w:pgSz w:w="16838" w:h="11906" w:orient="landscape"/>
          <w:pgMar w:top="426" w:right="1418" w:bottom="1134" w:left="1418" w:header="709" w:footer="709" w:gutter="0"/>
          <w:cols w:space="708"/>
          <w:docGrid w:linePitch="360"/>
        </w:sectPr>
      </w:pPr>
    </w:p>
    <w:p w14:paraId="23AE4BF9" w14:textId="7FF67C2B" w:rsidR="00780E6A" w:rsidRDefault="005A541C" w:rsidP="005F087B">
      <w:pPr>
        <w:pBdr>
          <w:top w:val="single" w:sz="2" w:space="1" w:color="auto"/>
          <w:left w:val="single" w:sz="2" w:space="4" w:color="auto"/>
          <w:bottom w:val="single" w:sz="2" w:space="1" w:color="auto"/>
          <w:right w:val="single" w:sz="2" w:space="4" w:color="auto"/>
        </w:pBdr>
        <w:rPr>
          <w:b/>
          <w:bCs/>
        </w:rPr>
      </w:pPr>
      <w:r>
        <w:rPr>
          <w:b/>
          <w:bCs/>
        </w:rPr>
        <w:t>Obrazložitev tabele stroškov poslovanja:</w:t>
      </w:r>
    </w:p>
    <w:p w14:paraId="0ECF39FD" w14:textId="1FBF5011" w:rsidR="00780E6A" w:rsidRPr="008A7971" w:rsidRDefault="005F087B" w:rsidP="005F087B">
      <w:pPr>
        <w:pBdr>
          <w:top w:val="single" w:sz="2" w:space="1" w:color="auto"/>
          <w:left w:val="single" w:sz="2" w:space="4" w:color="auto"/>
          <w:bottom w:val="single" w:sz="2" w:space="1" w:color="auto"/>
          <w:right w:val="single" w:sz="2" w:space="4" w:color="auto"/>
        </w:pBdr>
        <w:jc w:val="both"/>
        <w:rPr>
          <w:rFonts w:cstheme="minorHAnsi"/>
          <w:b/>
          <w:bCs/>
        </w:rPr>
      </w:pPr>
      <w:r w:rsidRPr="005F087B">
        <w:rPr>
          <w:rFonts w:cstheme="minorHAnsi"/>
          <w:color w:val="222222"/>
          <w:shd w:val="clear" w:color="auto" w:fill="FFFFFF"/>
        </w:rPr>
        <w:t xml:space="preserve">Stroški vzdrževanja, zasneževanja in obratovanja smučišča predstavljajo pomemben finančni zalogaj. Največji med njimi so stroški vzdrževanja, ki ostajajo konstantni vsako leto ne glede na dolžino sezone, in se sčasoma povečujejo zaradi staranja opreme. Stroški zasneževanja so odvisni od sezone in naravnega snega, vendar pa je opazen trend (zaradi vse milejših zim) naraščanja teh stroškov iz leta v leto. Stroški obratovanja so variabilni in odvisni od dolžine smučarske sezone. </w:t>
      </w:r>
      <w:r w:rsidRPr="008A7971">
        <w:rPr>
          <w:rFonts w:cstheme="minorHAnsi"/>
          <w:b/>
          <w:bCs/>
          <w:color w:val="222222"/>
          <w:shd w:val="clear" w:color="auto" w:fill="FFFFFF"/>
        </w:rPr>
        <w:t>Iz tabele povprečnih stroškov poslovanja družbe Gače d.o.o. v zadnjih treh letih je razvidno, da mora upravljavec smučišča vsako leto vložiti vsaj 200.000 EUR pred 1. obratovalnim dne</w:t>
      </w:r>
      <w:r w:rsidR="00B12E0B">
        <w:rPr>
          <w:rFonts w:cstheme="minorHAnsi"/>
          <w:b/>
          <w:bCs/>
          <w:color w:val="222222"/>
          <w:shd w:val="clear" w:color="auto" w:fill="FFFFFF"/>
        </w:rPr>
        <w:t>m</w:t>
      </w:r>
      <w:r w:rsidRPr="008A7971">
        <w:rPr>
          <w:rFonts w:cstheme="minorHAnsi"/>
          <w:b/>
          <w:bCs/>
          <w:color w:val="222222"/>
          <w:shd w:val="clear" w:color="auto" w:fill="FFFFFF"/>
        </w:rPr>
        <w:t>.</w:t>
      </w:r>
    </w:p>
    <w:p w14:paraId="22A14824" w14:textId="77777777" w:rsidR="00780E6A" w:rsidRDefault="00780E6A" w:rsidP="00780E6A"/>
    <w:p w14:paraId="07CE3602" w14:textId="77777777" w:rsidR="005F087B" w:rsidRDefault="005F087B">
      <w:pPr>
        <w:rPr>
          <w:rFonts w:ascii="Calibri" w:eastAsiaTheme="majorEastAsia" w:hAnsi="Calibri" w:cstheme="majorBidi"/>
          <w:b/>
          <w:sz w:val="32"/>
          <w:szCs w:val="32"/>
        </w:rPr>
      </w:pPr>
      <w:r>
        <w:br w:type="page"/>
      </w:r>
    </w:p>
    <w:p w14:paraId="2244835B" w14:textId="074F49C8" w:rsidR="006E47EE" w:rsidRDefault="00682423" w:rsidP="00005464">
      <w:pPr>
        <w:pStyle w:val="Naslov1"/>
        <w:numPr>
          <w:ilvl w:val="0"/>
          <w:numId w:val="1"/>
        </w:numPr>
      </w:pPr>
      <w:bookmarkStart w:id="7" w:name="_Toc180049338"/>
      <w:r>
        <w:t>POMOČ OBČIN PODPORNIC</w:t>
      </w:r>
      <w:bookmarkEnd w:id="7"/>
    </w:p>
    <w:p w14:paraId="40661359" w14:textId="77777777" w:rsidR="00682423" w:rsidRDefault="00682423" w:rsidP="00005464">
      <w:pPr>
        <w:pStyle w:val="Naslov2"/>
        <w:ind w:left="1080"/>
      </w:pPr>
    </w:p>
    <w:p w14:paraId="468043B0" w14:textId="5C682778" w:rsidR="00682423" w:rsidRDefault="0070478B" w:rsidP="00005464">
      <w:pPr>
        <w:pStyle w:val="Naslov2"/>
        <w:numPr>
          <w:ilvl w:val="1"/>
          <w:numId w:val="1"/>
        </w:numPr>
      </w:pPr>
      <w:bookmarkStart w:id="8" w:name="_Toc180049339"/>
      <w:r>
        <w:t>Pomen smučišča za širšo regijo in občine podpornice</w:t>
      </w:r>
      <w:bookmarkEnd w:id="8"/>
    </w:p>
    <w:p w14:paraId="0651B261" w14:textId="77777777" w:rsidR="006E47EE" w:rsidRDefault="006E47EE" w:rsidP="00005464"/>
    <w:p w14:paraId="66A27FBB" w14:textId="07539D5A" w:rsidR="0070478B" w:rsidRDefault="0070478B" w:rsidP="00005464">
      <w:pPr>
        <w:jc w:val="both"/>
      </w:pPr>
      <w:r>
        <w:t>Smučišča imajo izreden družbeni in gospodarski pomen za širše območje, kjer se nahajajo. Natančneje opredeljeni pozitivni učinki smučišča Gače na širšo okolico so:</w:t>
      </w:r>
    </w:p>
    <w:p w14:paraId="77AD8F38" w14:textId="77777777" w:rsidR="0070478B" w:rsidRDefault="0070478B" w:rsidP="00005464">
      <w:pPr>
        <w:pStyle w:val="Odstavekseznama"/>
        <w:numPr>
          <w:ilvl w:val="0"/>
          <w:numId w:val="7"/>
        </w:numPr>
        <w:jc w:val="both"/>
      </w:pPr>
      <w:r>
        <w:t>RTC Gače je s svojo infrastrukturo del integralne turistične ponudbe in močna spodbuda turizmu regije – pomemben regijski turistični produkt, ki spodbuja razvoj drugih turističnih produktov (takšni centri lahko v povezavi z gostinsko-namestitvenimi kapacitetami in drugimi za razvoj turizma relevantnimi kapacitetami omogočajo oblikovanje in prodajo zahtevnejših storitev, ki gosta za dlje časa zadržijo na obisku in ki prinašajo višjo dodano vrednost),</w:t>
      </w:r>
    </w:p>
    <w:p w14:paraId="6F1DF993" w14:textId="77777777" w:rsidR="0070478B" w:rsidRDefault="0070478B" w:rsidP="00005464">
      <w:pPr>
        <w:pStyle w:val="Odstavekseznama"/>
        <w:numPr>
          <w:ilvl w:val="0"/>
          <w:numId w:val="7"/>
        </w:numPr>
        <w:jc w:val="both"/>
      </w:pPr>
      <w:r>
        <w:t>pozitiven vpliv na gospodarsko aktivnost širšega območja smučišča,</w:t>
      </w:r>
    </w:p>
    <w:p w14:paraId="7CD4F560" w14:textId="77777777" w:rsidR="0070478B" w:rsidRDefault="0070478B" w:rsidP="00005464">
      <w:pPr>
        <w:pStyle w:val="Odstavekseznama"/>
        <w:numPr>
          <w:ilvl w:val="0"/>
          <w:numId w:val="7"/>
        </w:numPr>
        <w:jc w:val="both"/>
      </w:pPr>
      <w:r>
        <w:t xml:space="preserve">pozitiven vpliv na </w:t>
      </w:r>
      <w:proofErr w:type="spellStart"/>
      <w:r>
        <w:t>socio</w:t>
      </w:r>
      <w:proofErr w:type="spellEnd"/>
      <w:r>
        <w:t>-ekonomsko stanje lokalnega okolja,</w:t>
      </w:r>
    </w:p>
    <w:p w14:paraId="1446EDAC" w14:textId="77777777" w:rsidR="0070478B" w:rsidRDefault="0070478B" w:rsidP="00005464">
      <w:pPr>
        <w:pStyle w:val="Odstavekseznama"/>
        <w:numPr>
          <w:ilvl w:val="0"/>
          <w:numId w:val="7"/>
        </w:numPr>
        <w:jc w:val="both"/>
      </w:pPr>
      <w:r>
        <w:t>pozitiven vpliv na razvoj otrok, ki se lahko naučijo smučati in med počitnicami smučajo na domačem smučišču (v regiji Jugovzhodna Slovenija je 36 osnovnih šol in 25 podružničnih šol),</w:t>
      </w:r>
    </w:p>
    <w:p w14:paraId="2408EAEC" w14:textId="77777777" w:rsidR="0070478B" w:rsidRDefault="0070478B" w:rsidP="00005464">
      <w:pPr>
        <w:pStyle w:val="Odstavekseznama"/>
        <w:numPr>
          <w:ilvl w:val="0"/>
          <w:numId w:val="7"/>
        </w:numPr>
        <w:jc w:val="both"/>
      </w:pPr>
      <w:r>
        <w:t>pozitiven vpliv na razvoj športa v regiji, in sicer smučanja, smučarskega teka, gorskega kolesarjenja, … (vzpostavljeni pogoji za kakovostni, vrhunski šport),</w:t>
      </w:r>
    </w:p>
    <w:p w14:paraId="7A8829AC" w14:textId="02E2C73B" w:rsidR="0070478B" w:rsidRDefault="0070478B" w:rsidP="00005464">
      <w:pPr>
        <w:pStyle w:val="Odstavekseznama"/>
        <w:numPr>
          <w:ilvl w:val="0"/>
          <w:numId w:val="7"/>
        </w:numPr>
        <w:jc w:val="both"/>
      </w:pPr>
      <w:r>
        <w:t>pozitiven vpliv na zdravje prebivalcev regije (infrastruktura omogoča ukvarjanje s smučarskim tekom ter smučanjem, ki veljata za zdravo obliko rekreacije, spodbujanje rekreacije je v javnem interesu, rekreacija pa eden izmed ukrepov, ki omogoča aktivno življenje tudi v starosti),</w:t>
      </w:r>
    </w:p>
    <w:p w14:paraId="530F1108" w14:textId="77777777" w:rsidR="0070478B" w:rsidRDefault="0070478B" w:rsidP="00005464">
      <w:pPr>
        <w:pStyle w:val="Odstavekseznama"/>
        <w:numPr>
          <w:ilvl w:val="0"/>
          <w:numId w:val="7"/>
        </w:numPr>
        <w:jc w:val="both"/>
      </w:pPr>
      <w:r>
        <w:t>pozitiven vpliv na zaposlenost,</w:t>
      </w:r>
    </w:p>
    <w:p w14:paraId="07EADD71" w14:textId="76A92C22" w:rsidR="0070478B" w:rsidRDefault="0070478B" w:rsidP="00005464">
      <w:pPr>
        <w:pStyle w:val="Odstavekseznama"/>
        <w:numPr>
          <w:ilvl w:val="0"/>
          <w:numId w:val="7"/>
        </w:numPr>
        <w:jc w:val="both"/>
      </w:pPr>
      <w:r>
        <w:t>višji splošni življenjski standard prebivalcev regije.</w:t>
      </w:r>
    </w:p>
    <w:p w14:paraId="214B8435" w14:textId="0C8D5395" w:rsidR="0070478B" w:rsidRDefault="0070478B" w:rsidP="00005464">
      <w:pPr>
        <w:jc w:val="both"/>
      </w:pPr>
      <w:r>
        <w:t>Iz navedenega je moč razbrati, da RTC Gače zelo dobro uresničuje javni interes na področju turizma, družbenega življenja, športa, vzgoje otrok in rekreacije.</w:t>
      </w:r>
    </w:p>
    <w:p w14:paraId="7642EA48" w14:textId="5ACA2B23" w:rsidR="002603EE" w:rsidRDefault="002603EE" w:rsidP="00005464">
      <w:pPr>
        <w:jc w:val="both"/>
      </w:pPr>
      <w:r>
        <w:t xml:space="preserve">Smučišče Gače je vsekakor regijska športna infrastruktura, na katero bi lahko gledali tudi kot na skupno </w:t>
      </w:r>
      <w:r w:rsidR="00A71506">
        <w:t>»</w:t>
      </w:r>
      <w:r>
        <w:t>javno</w:t>
      </w:r>
      <w:r w:rsidR="00A71506">
        <w:t>«</w:t>
      </w:r>
      <w:r>
        <w:t xml:space="preserve"> športno infrastrukturo</w:t>
      </w:r>
      <w:r w:rsidR="0070478B">
        <w:t>, zato za finančno pomoč, ki je potrebna za dolgoročno stabilno poslovanje RTC Gače zaprošamo občine širšega gravitacijskega območja smučišča, ki so že leta 2017 podpisale pismo o nameri podpore programu »JV Slovenija smuča na Gačah«. Te občine so:</w:t>
      </w:r>
    </w:p>
    <w:p w14:paraId="7A536A26" w14:textId="221903E6" w:rsidR="0070478B" w:rsidRDefault="0070478B" w:rsidP="00005464">
      <w:pPr>
        <w:pStyle w:val="Odstavekseznama"/>
        <w:numPr>
          <w:ilvl w:val="0"/>
          <w:numId w:val="8"/>
        </w:numPr>
        <w:jc w:val="both"/>
      </w:pPr>
      <w:r>
        <w:t>Mestna občina Novo mesto</w:t>
      </w:r>
    </w:p>
    <w:p w14:paraId="6D1C37D3" w14:textId="23EF59A1" w:rsidR="0070478B" w:rsidRDefault="0070478B" w:rsidP="00005464">
      <w:pPr>
        <w:pStyle w:val="Odstavekseznama"/>
        <w:numPr>
          <w:ilvl w:val="0"/>
          <w:numId w:val="8"/>
        </w:numPr>
        <w:jc w:val="both"/>
      </w:pPr>
      <w:r>
        <w:t>Občina Črnomelj</w:t>
      </w:r>
    </w:p>
    <w:p w14:paraId="6E969BF3" w14:textId="1B9C60DF" w:rsidR="0070478B" w:rsidRDefault="0070478B" w:rsidP="00005464">
      <w:pPr>
        <w:pStyle w:val="Odstavekseznama"/>
        <w:numPr>
          <w:ilvl w:val="0"/>
          <w:numId w:val="8"/>
        </w:numPr>
        <w:jc w:val="both"/>
      </w:pPr>
      <w:r>
        <w:t>Občina Dolenjske Toplice</w:t>
      </w:r>
    </w:p>
    <w:p w14:paraId="22E9B4B0" w14:textId="3AA7F2C3" w:rsidR="0070478B" w:rsidRDefault="0070478B" w:rsidP="00005464">
      <w:pPr>
        <w:pStyle w:val="Odstavekseznama"/>
        <w:numPr>
          <w:ilvl w:val="0"/>
          <w:numId w:val="8"/>
        </w:numPr>
        <w:jc w:val="both"/>
      </w:pPr>
      <w:r>
        <w:t>Občina Kočevje</w:t>
      </w:r>
    </w:p>
    <w:p w14:paraId="7AC57DB4" w14:textId="109D50C3" w:rsidR="0070478B" w:rsidRDefault="0070478B" w:rsidP="00005464">
      <w:pPr>
        <w:pStyle w:val="Odstavekseznama"/>
        <w:numPr>
          <w:ilvl w:val="0"/>
          <w:numId w:val="8"/>
        </w:numPr>
        <w:jc w:val="both"/>
      </w:pPr>
      <w:r>
        <w:t>Občina Metlika</w:t>
      </w:r>
    </w:p>
    <w:p w14:paraId="05746452" w14:textId="79FD387C" w:rsidR="0070478B" w:rsidRDefault="0070478B" w:rsidP="00005464">
      <w:pPr>
        <w:pStyle w:val="Odstavekseznama"/>
        <w:numPr>
          <w:ilvl w:val="0"/>
          <w:numId w:val="8"/>
        </w:numPr>
        <w:jc w:val="both"/>
      </w:pPr>
      <w:r>
        <w:t>Občina Mirna</w:t>
      </w:r>
    </w:p>
    <w:p w14:paraId="5D395011" w14:textId="20BEF7D5" w:rsidR="0070478B" w:rsidRDefault="0070478B" w:rsidP="00005464">
      <w:pPr>
        <w:pStyle w:val="Odstavekseznama"/>
        <w:numPr>
          <w:ilvl w:val="0"/>
          <w:numId w:val="8"/>
        </w:numPr>
        <w:jc w:val="both"/>
      </w:pPr>
      <w:r>
        <w:t>Občina Mirna Peč</w:t>
      </w:r>
    </w:p>
    <w:p w14:paraId="7AC17171" w14:textId="3C3D1840" w:rsidR="0070478B" w:rsidRDefault="0070478B" w:rsidP="00005464">
      <w:pPr>
        <w:pStyle w:val="Odstavekseznama"/>
        <w:numPr>
          <w:ilvl w:val="0"/>
          <w:numId w:val="8"/>
        </w:numPr>
        <w:jc w:val="both"/>
      </w:pPr>
      <w:r>
        <w:t>Občina Mokronog-Trebelno</w:t>
      </w:r>
    </w:p>
    <w:p w14:paraId="6A29F103" w14:textId="7736BF32" w:rsidR="0070478B" w:rsidRDefault="0070478B" w:rsidP="00005464">
      <w:pPr>
        <w:pStyle w:val="Odstavekseznama"/>
        <w:numPr>
          <w:ilvl w:val="0"/>
          <w:numId w:val="8"/>
        </w:numPr>
        <w:jc w:val="both"/>
      </w:pPr>
      <w:r>
        <w:t>Občina Semič</w:t>
      </w:r>
    </w:p>
    <w:p w14:paraId="660FEEC2" w14:textId="1F72677F" w:rsidR="0070478B" w:rsidRDefault="0070478B" w:rsidP="00005464">
      <w:pPr>
        <w:pStyle w:val="Odstavekseznama"/>
        <w:numPr>
          <w:ilvl w:val="0"/>
          <w:numId w:val="8"/>
        </w:numPr>
        <w:jc w:val="both"/>
      </w:pPr>
      <w:r>
        <w:t>Občina Straža</w:t>
      </w:r>
    </w:p>
    <w:p w14:paraId="0C476D2F" w14:textId="7824FC7A" w:rsidR="0070478B" w:rsidRDefault="0070478B" w:rsidP="00005464">
      <w:pPr>
        <w:pStyle w:val="Odstavekseznama"/>
        <w:numPr>
          <w:ilvl w:val="0"/>
          <w:numId w:val="8"/>
        </w:numPr>
        <w:jc w:val="both"/>
      </w:pPr>
      <w:r>
        <w:t>Občina Šentjernej</w:t>
      </w:r>
    </w:p>
    <w:p w14:paraId="2B345C59" w14:textId="0D277706" w:rsidR="0070478B" w:rsidRDefault="0070478B" w:rsidP="00005464">
      <w:pPr>
        <w:pStyle w:val="Odstavekseznama"/>
        <w:numPr>
          <w:ilvl w:val="0"/>
          <w:numId w:val="8"/>
        </w:numPr>
        <w:jc w:val="both"/>
      </w:pPr>
      <w:r>
        <w:t>Občina Šentrupert</w:t>
      </w:r>
    </w:p>
    <w:p w14:paraId="12C7859F" w14:textId="5E427884" w:rsidR="0070478B" w:rsidRDefault="0070478B" w:rsidP="00005464">
      <w:pPr>
        <w:pStyle w:val="Odstavekseznama"/>
        <w:numPr>
          <w:ilvl w:val="0"/>
          <w:numId w:val="8"/>
        </w:numPr>
        <w:jc w:val="both"/>
      </w:pPr>
      <w:r>
        <w:t>Občina Škocjan</w:t>
      </w:r>
    </w:p>
    <w:p w14:paraId="0B5DDC96" w14:textId="4F39FFC8" w:rsidR="0070478B" w:rsidRDefault="0070478B" w:rsidP="00005464">
      <w:pPr>
        <w:pStyle w:val="Odstavekseznama"/>
        <w:numPr>
          <w:ilvl w:val="0"/>
          <w:numId w:val="8"/>
        </w:numPr>
        <w:jc w:val="both"/>
      </w:pPr>
      <w:r>
        <w:t>Občina Šmarješke Toplice</w:t>
      </w:r>
    </w:p>
    <w:p w14:paraId="2AE42655" w14:textId="327BA016" w:rsidR="0070478B" w:rsidRDefault="0070478B" w:rsidP="00005464">
      <w:pPr>
        <w:pStyle w:val="Odstavekseznama"/>
        <w:numPr>
          <w:ilvl w:val="0"/>
          <w:numId w:val="8"/>
        </w:numPr>
        <w:jc w:val="both"/>
      </w:pPr>
      <w:r>
        <w:t>Občina Trebnje</w:t>
      </w:r>
    </w:p>
    <w:p w14:paraId="2DEA589E" w14:textId="0C2C7536" w:rsidR="0070478B" w:rsidRDefault="0070478B" w:rsidP="00005464">
      <w:pPr>
        <w:pStyle w:val="Odstavekseznama"/>
        <w:numPr>
          <w:ilvl w:val="0"/>
          <w:numId w:val="8"/>
        </w:numPr>
        <w:jc w:val="both"/>
      </w:pPr>
      <w:r>
        <w:t>Občina Žužemberk</w:t>
      </w:r>
    </w:p>
    <w:p w14:paraId="4A817441" w14:textId="79CDDC7D" w:rsidR="00AD170B" w:rsidRPr="00AD170B" w:rsidRDefault="00AD170B" w:rsidP="00AD170B">
      <w:pPr>
        <w:jc w:val="both"/>
        <w:rPr>
          <w:b/>
          <w:bCs/>
        </w:rPr>
      </w:pPr>
      <w:r>
        <w:rPr>
          <w:b/>
          <w:bCs/>
        </w:rPr>
        <w:t>Kako je v tujini?</w:t>
      </w:r>
    </w:p>
    <w:p w14:paraId="4DEB5013" w14:textId="45E08094" w:rsidR="00AD170B" w:rsidRDefault="00AD170B" w:rsidP="00AD170B">
      <w:pPr>
        <w:jc w:val="both"/>
      </w:pPr>
      <w:r w:rsidRPr="00AD170B">
        <w:t>V tujini so lokalne skupnosti in občine ključnega pomena za podporo smučišč. Na primer, v Italiji so občine pogosto vključene v financiranje in promocijo smučišč, kar zagotavlja stalno podporo in izboljšuje gospodarski vpliv na regijo. Avtonomna provinca Trento nudi nepovratna sredstva in subvencije za izboljšanje in modernizacijo smučarskih prog ter žičniških naprav, kar bistveno prispeva k razvoju turizma v regiji.</w:t>
      </w:r>
    </w:p>
    <w:p w14:paraId="47BCFF2F" w14:textId="77777777" w:rsidR="00AD170B" w:rsidRDefault="00AD170B" w:rsidP="00AD170B">
      <w:pPr>
        <w:jc w:val="both"/>
      </w:pPr>
    </w:p>
    <w:p w14:paraId="1FA8E21B" w14:textId="587DAFC8" w:rsidR="00682423" w:rsidRDefault="00682423" w:rsidP="00005464">
      <w:pPr>
        <w:pStyle w:val="Naslov2"/>
        <w:numPr>
          <w:ilvl w:val="1"/>
          <w:numId w:val="1"/>
        </w:numPr>
      </w:pPr>
      <w:bookmarkStart w:id="9" w:name="_Toc180049340"/>
      <w:r>
        <w:t>Določitev ključa delitve</w:t>
      </w:r>
      <w:bookmarkEnd w:id="9"/>
    </w:p>
    <w:p w14:paraId="299717AF" w14:textId="77777777" w:rsidR="00682423" w:rsidRDefault="00682423" w:rsidP="00005464">
      <w:pPr>
        <w:jc w:val="both"/>
      </w:pPr>
    </w:p>
    <w:p w14:paraId="0AED9784" w14:textId="543CB1C9" w:rsidR="00C25C89" w:rsidRDefault="00C25C89" w:rsidP="00005464">
      <w:pPr>
        <w:jc w:val="both"/>
      </w:pPr>
      <w:r>
        <w:t xml:space="preserve">Za delitev </w:t>
      </w:r>
      <w:r w:rsidR="00D724E8">
        <w:t>stroškov obratovanja smučišča</w:t>
      </w:r>
      <w:r>
        <w:t xml:space="preserve"> med občine, </w:t>
      </w:r>
      <w:r w:rsidR="00D724E8">
        <w:t>je treba določiti</w:t>
      </w:r>
      <w:r>
        <w:t xml:space="preserve"> ključ delitve, pri čemer kot </w:t>
      </w:r>
      <w:r w:rsidR="00D724E8">
        <w:t>možnosti navajamo naslednja ključa</w:t>
      </w:r>
      <w:r>
        <w:t>:</w:t>
      </w:r>
    </w:p>
    <w:p w14:paraId="1CA3819A" w14:textId="35C8C7DA" w:rsidR="00D724E8" w:rsidRDefault="00C25C89" w:rsidP="00005464">
      <w:pPr>
        <w:pStyle w:val="Odstavekseznama"/>
        <w:numPr>
          <w:ilvl w:val="0"/>
          <w:numId w:val="10"/>
        </w:numPr>
        <w:jc w:val="both"/>
      </w:pPr>
      <w:r>
        <w:t>po številu prebivalcev občine,</w:t>
      </w:r>
    </w:p>
    <w:p w14:paraId="62BB7645" w14:textId="77777777" w:rsidR="00373C66" w:rsidRDefault="00373C66" w:rsidP="00005464">
      <w:pPr>
        <w:jc w:val="both"/>
      </w:pPr>
    </w:p>
    <w:p w14:paraId="5B039531" w14:textId="325DD9D6" w:rsidR="00373C66" w:rsidRPr="00373C66" w:rsidRDefault="00373C66" w:rsidP="00005464">
      <w:pPr>
        <w:jc w:val="both"/>
        <w:rPr>
          <w:b/>
          <w:bCs/>
        </w:rPr>
      </w:pPr>
      <w:r>
        <w:rPr>
          <w:b/>
          <w:bCs/>
        </w:rPr>
        <w:t>Kako je v tujini?</w:t>
      </w:r>
    </w:p>
    <w:p w14:paraId="63B2B621" w14:textId="5A01FFC8" w:rsidR="00133124" w:rsidRDefault="00373C66" w:rsidP="00005464">
      <w:pPr>
        <w:jc w:val="both"/>
      </w:pPr>
      <w:r w:rsidRPr="00373C66">
        <w:t>V Avstriji se stroški vzdrževanja smučišč pogosto delijo med občinami glede na število prebivalcev in bližino smučišča. Tak model zagotavlja pravično porazdelitev bremen in omogoča trajnostno financiranje. Podoben model bi lahko uporabili tudi pri nas za bolj učinkovito delitev stroškov med občine podpornice.</w:t>
      </w:r>
    </w:p>
    <w:p w14:paraId="3C900A39" w14:textId="77777777" w:rsidR="00AA06A1" w:rsidRDefault="00AA06A1" w:rsidP="00005464">
      <w:pPr>
        <w:jc w:val="both"/>
      </w:pPr>
    </w:p>
    <w:p w14:paraId="551F9B80" w14:textId="1F668588" w:rsidR="00AA06A1" w:rsidRDefault="00AA06A1" w:rsidP="00005464">
      <w:pPr>
        <w:pStyle w:val="Naslov2"/>
        <w:numPr>
          <w:ilvl w:val="1"/>
          <w:numId w:val="1"/>
        </w:numPr>
      </w:pPr>
      <w:bookmarkStart w:id="10" w:name="_Toc180049341"/>
      <w:r>
        <w:t>Višina zaprošenih sredstev in bonitete za občine</w:t>
      </w:r>
      <w:bookmarkEnd w:id="10"/>
    </w:p>
    <w:p w14:paraId="389D6F9E" w14:textId="77777777" w:rsidR="00AA06A1" w:rsidRDefault="00AA06A1" w:rsidP="00005464">
      <w:pPr>
        <w:jc w:val="both"/>
      </w:pPr>
    </w:p>
    <w:p w14:paraId="151919EC" w14:textId="098F2849" w:rsidR="006E47EE" w:rsidRDefault="00AA06A1" w:rsidP="00005464">
      <w:pPr>
        <w:jc w:val="both"/>
      </w:pPr>
      <w:r>
        <w:t xml:space="preserve">Glede na v dokumentu predstavljene stroške obratovanja smučišča, ki postajajo iz leta v leto višji in vse bolj obremenjujejo in ogrožajo nadaljnjem stabilno poslovanje RTC Gače, </w:t>
      </w:r>
      <w:r w:rsidR="008C50D4">
        <w:t>je</w:t>
      </w:r>
      <w:r>
        <w:t xml:space="preserve"> predlagan</w:t>
      </w:r>
      <w:r w:rsidR="008C50D4">
        <w:t>a</w:t>
      </w:r>
      <w:r>
        <w:t xml:space="preserve"> variant</w:t>
      </w:r>
      <w:r w:rsidR="008C50D4">
        <w:t>a</w:t>
      </w:r>
      <w:r>
        <w:t>:</w:t>
      </w:r>
    </w:p>
    <w:p w14:paraId="43F5557E" w14:textId="1A333924" w:rsidR="00B76106" w:rsidRDefault="00D40AD6" w:rsidP="00D40AD6">
      <w:pPr>
        <w:pStyle w:val="Odstavekseznama"/>
        <w:numPr>
          <w:ilvl w:val="0"/>
          <w:numId w:val="13"/>
        </w:numPr>
        <w:jc w:val="both"/>
        <w:rPr>
          <w:b/>
          <w:bCs/>
        </w:rPr>
      </w:pPr>
      <w:r w:rsidRPr="00AA06A1">
        <w:rPr>
          <w:b/>
          <w:bCs/>
        </w:rPr>
        <w:t xml:space="preserve">Varianta </w:t>
      </w:r>
      <w:r w:rsidR="008C50D4">
        <w:rPr>
          <w:b/>
          <w:bCs/>
        </w:rPr>
        <w:t>A</w:t>
      </w:r>
      <w:r w:rsidRPr="00AA06A1">
        <w:rPr>
          <w:b/>
          <w:bCs/>
        </w:rPr>
        <w:t>: skupaj 150.000 EUR letne finančne pomoči</w:t>
      </w:r>
      <w:r w:rsidR="00CE1E17">
        <w:rPr>
          <w:b/>
          <w:bCs/>
        </w:rPr>
        <w:t xml:space="preserve"> (Občina Semič prispeva </w:t>
      </w:r>
      <w:r w:rsidR="00431A76">
        <w:rPr>
          <w:b/>
          <w:bCs/>
        </w:rPr>
        <w:t>3</w:t>
      </w:r>
      <w:r w:rsidR="00CE1E17">
        <w:rPr>
          <w:b/>
          <w:bCs/>
        </w:rPr>
        <w:t>0.000 EUR,</w:t>
      </w:r>
      <w:r w:rsidR="00431A76">
        <w:rPr>
          <w:b/>
          <w:bCs/>
        </w:rPr>
        <w:t xml:space="preserve"> Občini Metlika in Črnomelj vsaka po 15.000 EUR, Občina Dolenjske Toplice 5.000 EUR, Občina Kočevje 10.000 EUR in Mestna občina Novo mesto 26.500 EUR, </w:t>
      </w:r>
      <w:r w:rsidR="00B62147">
        <w:rPr>
          <w:b/>
          <w:bCs/>
        </w:rPr>
        <w:t xml:space="preserve">preostala sredstva (48.500 EUR) pa </w:t>
      </w:r>
      <w:r w:rsidR="00431A76">
        <w:rPr>
          <w:b/>
          <w:bCs/>
        </w:rPr>
        <w:t>ostale občine glede na št. prebivalcev)</w:t>
      </w:r>
      <w:r w:rsidRPr="00AA06A1">
        <w:rPr>
          <w:b/>
          <w:bCs/>
        </w:rPr>
        <w:t>, pri čemer</w:t>
      </w:r>
      <w:r w:rsidR="00B76106">
        <w:rPr>
          <w:b/>
          <w:bCs/>
        </w:rPr>
        <w:t xml:space="preserve"> je zagotovljeno brezplačno smučanje za naslednje otroke iz občin podpornic:</w:t>
      </w:r>
    </w:p>
    <w:p w14:paraId="2E1557E4" w14:textId="263F4332" w:rsidR="00B76106" w:rsidRDefault="00B76106" w:rsidP="00D40AD6">
      <w:pPr>
        <w:pStyle w:val="Odstavekseznama"/>
        <w:numPr>
          <w:ilvl w:val="0"/>
          <w:numId w:val="13"/>
        </w:numPr>
        <w:jc w:val="both"/>
        <w:rPr>
          <w:b/>
          <w:bCs/>
        </w:rPr>
      </w:pPr>
      <w:r>
        <w:rPr>
          <w:b/>
          <w:bCs/>
        </w:rPr>
        <w:t>za predšolske otroke</w:t>
      </w:r>
      <w:r w:rsidR="00B4295A">
        <w:rPr>
          <w:b/>
          <w:bCs/>
        </w:rPr>
        <w:t xml:space="preserve"> - kadarkoli</w:t>
      </w:r>
    </w:p>
    <w:p w14:paraId="0AE4EFFA" w14:textId="0C00338F" w:rsidR="00B76106" w:rsidRDefault="00B76106" w:rsidP="00D40AD6">
      <w:pPr>
        <w:pStyle w:val="Odstavekseznama"/>
        <w:numPr>
          <w:ilvl w:val="0"/>
          <w:numId w:val="13"/>
        </w:numPr>
        <w:jc w:val="both"/>
        <w:rPr>
          <w:b/>
          <w:bCs/>
        </w:rPr>
      </w:pPr>
      <w:r>
        <w:rPr>
          <w:b/>
          <w:bCs/>
        </w:rPr>
        <w:t>za otroke, ki obiskujejo osnovno šolo</w:t>
      </w:r>
      <w:r w:rsidR="00B4295A">
        <w:rPr>
          <w:b/>
          <w:bCs/>
        </w:rPr>
        <w:t xml:space="preserve"> - kadarkoli</w:t>
      </w:r>
    </w:p>
    <w:p w14:paraId="3B757895" w14:textId="30C8DD2D" w:rsidR="00B76106" w:rsidRDefault="00B76106" w:rsidP="00D40AD6">
      <w:pPr>
        <w:pStyle w:val="Odstavekseznama"/>
        <w:numPr>
          <w:ilvl w:val="0"/>
          <w:numId w:val="13"/>
        </w:numPr>
        <w:jc w:val="both"/>
        <w:rPr>
          <w:b/>
          <w:bCs/>
        </w:rPr>
      </w:pPr>
      <w:r>
        <w:rPr>
          <w:b/>
          <w:bCs/>
        </w:rPr>
        <w:t>za ranljive skupine</w:t>
      </w:r>
      <w:r w:rsidR="00B4295A">
        <w:rPr>
          <w:b/>
          <w:bCs/>
        </w:rPr>
        <w:t xml:space="preserve"> - kadarkoli</w:t>
      </w:r>
    </w:p>
    <w:p w14:paraId="3DFBD88D" w14:textId="51E38B2D" w:rsidR="00B76106" w:rsidRDefault="00B76106" w:rsidP="00B76106">
      <w:pPr>
        <w:pStyle w:val="Odstavekseznama"/>
        <w:numPr>
          <w:ilvl w:val="0"/>
          <w:numId w:val="13"/>
        </w:numPr>
        <w:jc w:val="both"/>
        <w:rPr>
          <w:b/>
          <w:bCs/>
        </w:rPr>
      </w:pPr>
      <w:r>
        <w:rPr>
          <w:b/>
          <w:bCs/>
        </w:rPr>
        <w:t>za srednješolske otroke</w:t>
      </w:r>
      <w:r w:rsidR="00157FA8">
        <w:rPr>
          <w:b/>
          <w:bCs/>
        </w:rPr>
        <w:t xml:space="preserve"> </w:t>
      </w:r>
      <w:r w:rsidR="00B4295A">
        <w:rPr>
          <w:b/>
          <w:bCs/>
        </w:rPr>
        <w:t xml:space="preserve">- </w:t>
      </w:r>
      <w:r w:rsidR="00157FA8">
        <w:rPr>
          <w:b/>
          <w:bCs/>
        </w:rPr>
        <w:t xml:space="preserve">le </w:t>
      </w:r>
      <w:r>
        <w:rPr>
          <w:b/>
          <w:bCs/>
        </w:rPr>
        <w:t>v okviru športnega dneva ali šole v naravi.</w:t>
      </w:r>
    </w:p>
    <w:p w14:paraId="6887DAA4" w14:textId="77777777" w:rsidR="008C50D4" w:rsidRDefault="008C50D4">
      <w:pPr>
        <w:rPr>
          <w:rFonts w:ascii="Calibri" w:eastAsiaTheme="majorEastAsia" w:hAnsi="Calibri" w:cstheme="majorBidi"/>
          <w:b/>
          <w:sz w:val="32"/>
          <w:szCs w:val="32"/>
        </w:rPr>
      </w:pPr>
      <w:r>
        <w:br w:type="page"/>
      </w:r>
    </w:p>
    <w:p w14:paraId="5C51E1C3" w14:textId="65094D1D" w:rsidR="006E47EE" w:rsidRDefault="006E47EE" w:rsidP="00005464">
      <w:pPr>
        <w:pStyle w:val="Naslov1"/>
        <w:numPr>
          <w:ilvl w:val="0"/>
          <w:numId w:val="1"/>
        </w:numPr>
      </w:pPr>
      <w:bookmarkStart w:id="11" w:name="_Toc180049342"/>
      <w:r>
        <w:t>DELIT</w:t>
      </w:r>
      <w:r w:rsidR="008C50D4">
        <w:t>E</w:t>
      </w:r>
      <w:r>
        <w:t>V STROŠKOV MED OBČINE PODPORNICE</w:t>
      </w:r>
      <w:bookmarkEnd w:id="11"/>
    </w:p>
    <w:p w14:paraId="70F81FBC" w14:textId="77777777" w:rsidR="005F35DE" w:rsidRDefault="005F35DE" w:rsidP="00005464">
      <w:pPr>
        <w:pStyle w:val="Naslov2"/>
        <w:ind w:left="1080"/>
      </w:pPr>
    </w:p>
    <w:p w14:paraId="3636DA15" w14:textId="00E59146" w:rsidR="006678B6" w:rsidRDefault="006678B6" w:rsidP="003D42BD">
      <w:pPr>
        <w:pStyle w:val="Naslov2"/>
        <w:numPr>
          <w:ilvl w:val="1"/>
          <w:numId w:val="1"/>
        </w:numPr>
        <w:jc w:val="both"/>
      </w:pPr>
      <w:bookmarkStart w:id="12" w:name="_Hlk170113501"/>
      <w:bookmarkStart w:id="13" w:name="_Toc180049343"/>
      <w:r>
        <w:t xml:space="preserve">Varianta </w:t>
      </w:r>
      <w:r w:rsidR="008C50D4">
        <w:t>A</w:t>
      </w:r>
      <w:r>
        <w:t>: delitev po številu prebivalcev,</w:t>
      </w:r>
      <w:r w:rsidRPr="006678B6">
        <w:t xml:space="preserve"> </w:t>
      </w:r>
      <w:r w:rsidR="003D42BD" w:rsidRPr="003D42BD">
        <w:t>Občina Semič prispeva 30.000 E</w:t>
      </w:r>
      <w:bookmarkEnd w:id="12"/>
      <w:r w:rsidR="003D42BD" w:rsidRPr="003D42BD">
        <w:t xml:space="preserve">UR, Občini Metlika in Črnomelj vsaka po 15.000 EUR, Občina Dolenjske Toplice 5.000 EUR, Občina Kočevje 10.000 EUR in Mestna občina Novo mesto 26.500 EUR, </w:t>
      </w:r>
      <w:r w:rsidR="00F22A5E">
        <w:t xml:space="preserve">preostala sredstva (48.500 EUR) pa </w:t>
      </w:r>
      <w:r w:rsidR="003D42BD" w:rsidRPr="003D42BD">
        <w:t xml:space="preserve">ostale občine glede na št. prebivalcev </w:t>
      </w:r>
      <w:r>
        <w:t>(</w:t>
      </w:r>
      <w:r w:rsidR="003D42BD">
        <w:t xml:space="preserve">skupaj </w:t>
      </w:r>
      <w:r>
        <w:t>150.000 EUR)</w:t>
      </w:r>
      <w:bookmarkEnd w:id="13"/>
    </w:p>
    <w:p w14:paraId="71593211" w14:textId="77777777" w:rsidR="006678B6" w:rsidRPr="00EF580E" w:rsidRDefault="006678B6" w:rsidP="006678B6"/>
    <w:tbl>
      <w:tblPr>
        <w:tblW w:w="908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4A0" w:firstRow="1" w:lastRow="0" w:firstColumn="1" w:lastColumn="0" w:noHBand="0" w:noVBand="1"/>
      </w:tblPr>
      <w:tblGrid>
        <w:gridCol w:w="3119"/>
        <w:gridCol w:w="1709"/>
        <w:gridCol w:w="1559"/>
        <w:gridCol w:w="2693"/>
      </w:tblGrid>
      <w:tr w:rsidR="006678B6" w:rsidRPr="00EF580E" w14:paraId="2E9D98C2" w14:textId="77777777" w:rsidTr="00C15C02">
        <w:trPr>
          <w:trHeight w:val="290"/>
        </w:trPr>
        <w:tc>
          <w:tcPr>
            <w:tcW w:w="3119" w:type="dxa"/>
            <w:tcBorders>
              <w:bottom w:val="single" w:sz="12" w:space="0" w:color="auto"/>
            </w:tcBorders>
            <w:shd w:val="clear" w:color="auto" w:fill="D9D9D9" w:themeFill="background1" w:themeFillShade="D9"/>
            <w:noWrap/>
            <w:vAlign w:val="bottom"/>
            <w:hideMark/>
          </w:tcPr>
          <w:p w14:paraId="05E2993C" w14:textId="77777777" w:rsidR="006678B6" w:rsidRPr="00EF580E" w:rsidRDefault="006678B6" w:rsidP="00C15C02">
            <w:pPr>
              <w:spacing w:after="0"/>
              <w:jc w:val="center"/>
              <w:rPr>
                <w:rFonts w:ascii="Calibri" w:eastAsia="Times New Roman" w:hAnsi="Calibri" w:cs="Calibri"/>
                <w:b/>
                <w:bCs/>
                <w:color w:val="000000"/>
                <w:kern w:val="0"/>
                <w:lang w:eastAsia="sl-SI"/>
                <w14:ligatures w14:val="none"/>
              </w:rPr>
            </w:pPr>
            <w:r w:rsidRPr="00EF580E">
              <w:rPr>
                <w:rFonts w:ascii="Calibri" w:eastAsia="Times New Roman" w:hAnsi="Calibri" w:cs="Calibri"/>
                <w:b/>
                <w:bCs/>
                <w:color w:val="000000"/>
                <w:kern w:val="0"/>
                <w:lang w:eastAsia="sl-SI"/>
                <w14:ligatures w14:val="none"/>
              </w:rPr>
              <w:t>Občina</w:t>
            </w:r>
          </w:p>
        </w:tc>
        <w:tc>
          <w:tcPr>
            <w:tcW w:w="1709" w:type="dxa"/>
            <w:tcBorders>
              <w:bottom w:val="single" w:sz="12" w:space="0" w:color="auto"/>
            </w:tcBorders>
            <w:shd w:val="clear" w:color="auto" w:fill="D9D9D9" w:themeFill="background1" w:themeFillShade="D9"/>
            <w:noWrap/>
            <w:vAlign w:val="bottom"/>
            <w:hideMark/>
          </w:tcPr>
          <w:p w14:paraId="611D4B5E" w14:textId="77777777" w:rsidR="006678B6" w:rsidRPr="00EF580E" w:rsidRDefault="006678B6" w:rsidP="00C15C02">
            <w:pPr>
              <w:spacing w:after="0"/>
              <w:jc w:val="center"/>
              <w:rPr>
                <w:rFonts w:ascii="Calibri" w:eastAsia="Times New Roman" w:hAnsi="Calibri" w:cs="Calibri"/>
                <w:b/>
                <w:bCs/>
                <w:color w:val="000000"/>
                <w:kern w:val="0"/>
                <w:lang w:eastAsia="sl-SI"/>
                <w14:ligatures w14:val="none"/>
              </w:rPr>
            </w:pPr>
            <w:r w:rsidRPr="00EF580E">
              <w:rPr>
                <w:rFonts w:ascii="Calibri" w:eastAsia="Times New Roman" w:hAnsi="Calibri" w:cs="Calibri"/>
                <w:b/>
                <w:bCs/>
                <w:color w:val="000000"/>
                <w:kern w:val="0"/>
                <w:lang w:eastAsia="sl-SI"/>
                <w14:ligatures w14:val="none"/>
              </w:rPr>
              <w:t>Št. prebivalcev na dan 1. 7. 2023</w:t>
            </w:r>
          </w:p>
        </w:tc>
        <w:tc>
          <w:tcPr>
            <w:tcW w:w="1559" w:type="dxa"/>
            <w:tcBorders>
              <w:bottom w:val="single" w:sz="12" w:space="0" w:color="auto"/>
            </w:tcBorders>
            <w:shd w:val="clear" w:color="auto" w:fill="D9D9D9" w:themeFill="background1" w:themeFillShade="D9"/>
            <w:noWrap/>
            <w:vAlign w:val="bottom"/>
            <w:hideMark/>
          </w:tcPr>
          <w:p w14:paraId="3BE1344F" w14:textId="77777777" w:rsidR="006678B6" w:rsidRPr="00EF580E" w:rsidRDefault="006678B6" w:rsidP="00C15C02">
            <w:pPr>
              <w:spacing w:after="0"/>
              <w:jc w:val="center"/>
              <w:rPr>
                <w:rFonts w:ascii="Calibri" w:eastAsia="Times New Roman" w:hAnsi="Calibri" w:cs="Calibri"/>
                <w:b/>
                <w:bCs/>
                <w:color w:val="000000"/>
                <w:kern w:val="0"/>
                <w:lang w:eastAsia="sl-SI"/>
                <w14:ligatures w14:val="none"/>
              </w:rPr>
            </w:pPr>
            <w:r w:rsidRPr="00EF580E">
              <w:rPr>
                <w:rFonts w:ascii="Calibri" w:eastAsia="Times New Roman" w:hAnsi="Calibri" w:cs="Calibri"/>
                <w:b/>
                <w:bCs/>
                <w:color w:val="000000"/>
                <w:kern w:val="0"/>
                <w:lang w:eastAsia="sl-SI"/>
                <w14:ligatures w14:val="none"/>
              </w:rPr>
              <w:t>Delež po št. prebivalcev</w:t>
            </w:r>
          </w:p>
        </w:tc>
        <w:tc>
          <w:tcPr>
            <w:tcW w:w="2693" w:type="dxa"/>
            <w:tcBorders>
              <w:bottom w:val="single" w:sz="12" w:space="0" w:color="auto"/>
            </w:tcBorders>
            <w:shd w:val="clear" w:color="auto" w:fill="D9D9D9" w:themeFill="background1" w:themeFillShade="D9"/>
            <w:noWrap/>
            <w:vAlign w:val="bottom"/>
            <w:hideMark/>
          </w:tcPr>
          <w:p w14:paraId="49A08866" w14:textId="77777777" w:rsidR="006678B6" w:rsidRPr="00EF580E" w:rsidRDefault="006678B6" w:rsidP="00C15C02">
            <w:pPr>
              <w:spacing w:after="0"/>
              <w:jc w:val="center"/>
              <w:rPr>
                <w:rFonts w:ascii="Calibri" w:eastAsia="Times New Roman" w:hAnsi="Calibri" w:cs="Calibri"/>
                <w:b/>
                <w:bCs/>
                <w:color w:val="000000"/>
                <w:kern w:val="0"/>
                <w:lang w:eastAsia="sl-SI"/>
                <w14:ligatures w14:val="none"/>
              </w:rPr>
            </w:pPr>
            <w:r w:rsidRPr="00EF580E">
              <w:rPr>
                <w:rFonts w:ascii="Calibri" w:eastAsia="Times New Roman" w:hAnsi="Calibri" w:cs="Calibri"/>
                <w:b/>
                <w:bCs/>
                <w:color w:val="000000"/>
                <w:kern w:val="0"/>
                <w:lang w:eastAsia="sl-SI"/>
                <w14:ligatures w14:val="none"/>
              </w:rPr>
              <w:t>Prispevek občine za delovanje RTC Gače (v EUR)</w:t>
            </w:r>
          </w:p>
        </w:tc>
      </w:tr>
      <w:tr w:rsidR="003D42BD" w:rsidRPr="00EF580E" w14:paraId="724EE4A1" w14:textId="77777777" w:rsidTr="003D42BD">
        <w:trPr>
          <w:trHeight w:val="290"/>
        </w:trPr>
        <w:tc>
          <w:tcPr>
            <w:tcW w:w="3119" w:type="dxa"/>
            <w:tcBorders>
              <w:bottom w:val="single" w:sz="2" w:space="0" w:color="auto"/>
            </w:tcBorders>
            <w:shd w:val="clear" w:color="auto" w:fill="F4B083" w:themeFill="accent2" w:themeFillTint="99"/>
            <w:noWrap/>
            <w:vAlign w:val="bottom"/>
            <w:hideMark/>
          </w:tcPr>
          <w:p w14:paraId="6EFA0CEF" w14:textId="77777777" w:rsidR="003D42BD" w:rsidRPr="00EF580E" w:rsidRDefault="003D42BD" w:rsidP="003D42BD">
            <w:pPr>
              <w:spacing w:after="0"/>
              <w:rPr>
                <w:rFonts w:ascii="Calibri" w:eastAsia="Times New Roman" w:hAnsi="Calibri" w:cs="Calibri"/>
                <w:color w:val="000000"/>
                <w:kern w:val="0"/>
                <w:lang w:eastAsia="sl-SI"/>
                <w14:ligatures w14:val="none"/>
              </w:rPr>
            </w:pPr>
            <w:r w:rsidRPr="00EF580E">
              <w:rPr>
                <w:rFonts w:ascii="Calibri" w:eastAsia="Times New Roman" w:hAnsi="Calibri" w:cs="Calibri"/>
                <w:color w:val="000000"/>
                <w:kern w:val="0"/>
                <w:lang w:eastAsia="sl-SI"/>
                <w14:ligatures w14:val="none"/>
              </w:rPr>
              <w:t>1. Mestna občina Novo mesto</w:t>
            </w:r>
          </w:p>
        </w:tc>
        <w:tc>
          <w:tcPr>
            <w:tcW w:w="1709" w:type="dxa"/>
            <w:tcBorders>
              <w:bottom w:val="single" w:sz="2" w:space="0" w:color="auto"/>
            </w:tcBorders>
            <w:shd w:val="clear" w:color="auto" w:fill="F4B083" w:themeFill="accent2" w:themeFillTint="99"/>
            <w:noWrap/>
            <w:vAlign w:val="bottom"/>
            <w:hideMark/>
          </w:tcPr>
          <w:p w14:paraId="09CF3173" w14:textId="56EE1B0B" w:rsidR="003D42BD" w:rsidRPr="00EF580E" w:rsidRDefault="003D42BD" w:rsidP="003D42BD">
            <w:pPr>
              <w:spacing w:after="0"/>
              <w:jc w:val="right"/>
              <w:rPr>
                <w:rFonts w:ascii="Calibri" w:eastAsia="Times New Roman" w:hAnsi="Calibri" w:cs="Calibri"/>
                <w:color w:val="000000"/>
                <w:kern w:val="0"/>
                <w:lang w:eastAsia="sl-SI"/>
                <w14:ligatures w14:val="none"/>
              </w:rPr>
            </w:pPr>
            <w:r>
              <w:rPr>
                <w:rFonts w:ascii="Calibri" w:hAnsi="Calibri" w:cs="Calibri"/>
                <w:color w:val="000000"/>
              </w:rPr>
              <w:t>38.189</w:t>
            </w:r>
          </w:p>
        </w:tc>
        <w:tc>
          <w:tcPr>
            <w:tcW w:w="1559" w:type="dxa"/>
            <w:tcBorders>
              <w:bottom w:val="single" w:sz="2" w:space="0" w:color="auto"/>
            </w:tcBorders>
            <w:shd w:val="clear" w:color="auto" w:fill="F4B083" w:themeFill="accent2" w:themeFillTint="99"/>
            <w:noWrap/>
            <w:vAlign w:val="bottom"/>
            <w:hideMark/>
          </w:tcPr>
          <w:p w14:paraId="6CA8CFBB" w14:textId="4632F928" w:rsidR="003D42BD" w:rsidRPr="00EF580E" w:rsidRDefault="003D42BD" w:rsidP="003D42BD">
            <w:pPr>
              <w:spacing w:after="0"/>
              <w:jc w:val="right"/>
              <w:rPr>
                <w:rFonts w:ascii="Calibri" w:eastAsia="Times New Roman" w:hAnsi="Calibri" w:cs="Calibri"/>
                <w:color w:val="000000"/>
                <w:kern w:val="0"/>
                <w:lang w:eastAsia="sl-SI"/>
                <w14:ligatures w14:val="none"/>
              </w:rPr>
            </w:pPr>
            <w:r>
              <w:rPr>
                <w:rFonts w:ascii="Calibri" w:hAnsi="Calibri" w:cs="Calibri"/>
                <w:color w:val="000000"/>
              </w:rPr>
              <w:t>28,80%</w:t>
            </w:r>
          </w:p>
        </w:tc>
        <w:tc>
          <w:tcPr>
            <w:tcW w:w="2693" w:type="dxa"/>
            <w:tcBorders>
              <w:bottom w:val="single" w:sz="2" w:space="0" w:color="auto"/>
            </w:tcBorders>
            <w:shd w:val="clear" w:color="auto" w:fill="F4B083" w:themeFill="accent2" w:themeFillTint="99"/>
            <w:noWrap/>
            <w:vAlign w:val="bottom"/>
            <w:hideMark/>
          </w:tcPr>
          <w:p w14:paraId="233639AA" w14:textId="4290962F" w:rsidR="003D42BD" w:rsidRPr="00EF580E" w:rsidRDefault="003D42BD" w:rsidP="003D42BD">
            <w:pPr>
              <w:spacing w:after="0"/>
              <w:jc w:val="right"/>
              <w:rPr>
                <w:rFonts w:ascii="Calibri" w:eastAsia="Times New Roman" w:hAnsi="Calibri" w:cs="Calibri"/>
                <w:color w:val="000000"/>
                <w:kern w:val="0"/>
                <w:lang w:eastAsia="sl-SI"/>
                <w14:ligatures w14:val="none"/>
              </w:rPr>
            </w:pPr>
            <w:r>
              <w:rPr>
                <w:rFonts w:ascii="Calibri" w:hAnsi="Calibri" w:cs="Calibri"/>
                <w:color w:val="000000"/>
              </w:rPr>
              <w:t>26.500,00</w:t>
            </w:r>
          </w:p>
        </w:tc>
      </w:tr>
      <w:tr w:rsidR="003D42BD" w:rsidRPr="00EF580E" w14:paraId="32B073F7" w14:textId="77777777" w:rsidTr="003D42BD">
        <w:trPr>
          <w:trHeight w:val="290"/>
        </w:trPr>
        <w:tc>
          <w:tcPr>
            <w:tcW w:w="3119" w:type="dxa"/>
            <w:tcBorders>
              <w:top w:val="single" w:sz="2" w:space="0" w:color="auto"/>
              <w:bottom w:val="single" w:sz="2" w:space="0" w:color="auto"/>
            </w:tcBorders>
            <w:shd w:val="clear" w:color="auto" w:fill="F4B083" w:themeFill="accent2" w:themeFillTint="99"/>
            <w:noWrap/>
            <w:vAlign w:val="bottom"/>
            <w:hideMark/>
          </w:tcPr>
          <w:p w14:paraId="57A5E554" w14:textId="77777777" w:rsidR="003D42BD" w:rsidRPr="00EF580E" w:rsidRDefault="003D42BD" w:rsidP="003D42BD">
            <w:pPr>
              <w:spacing w:after="0"/>
              <w:rPr>
                <w:rFonts w:ascii="Calibri" w:eastAsia="Times New Roman" w:hAnsi="Calibri" w:cs="Calibri"/>
                <w:color w:val="000000"/>
                <w:kern w:val="0"/>
                <w:lang w:eastAsia="sl-SI"/>
                <w14:ligatures w14:val="none"/>
              </w:rPr>
            </w:pPr>
            <w:r w:rsidRPr="00EF580E">
              <w:rPr>
                <w:rFonts w:ascii="Calibri" w:eastAsia="Times New Roman" w:hAnsi="Calibri" w:cs="Calibri"/>
                <w:color w:val="000000"/>
                <w:kern w:val="0"/>
                <w:lang w:eastAsia="sl-SI"/>
                <w14:ligatures w14:val="none"/>
              </w:rPr>
              <w:t>2. Občina Črnomelj</w:t>
            </w:r>
          </w:p>
        </w:tc>
        <w:tc>
          <w:tcPr>
            <w:tcW w:w="1709" w:type="dxa"/>
            <w:tcBorders>
              <w:top w:val="single" w:sz="2" w:space="0" w:color="auto"/>
              <w:bottom w:val="single" w:sz="2" w:space="0" w:color="auto"/>
            </w:tcBorders>
            <w:shd w:val="clear" w:color="auto" w:fill="F4B083" w:themeFill="accent2" w:themeFillTint="99"/>
            <w:noWrap/>
            <w:vAlign w:val="bottom"/>
            <w:hideMark/>
          </w:tcPr>
          <w:p w14:paraId="125BB6A3" w14:textId="541A9EEF" w:rsidR="003D42BD" w:rsidRPr="00EF580E" w:rsidRDefault="003D42BD" w:rsidP="003D42BD">
            <w:pPr>
              <w:spacing w:after="0"/>
              <w:jc w:val="right"/>
              <w:rPr>
                <w:rFonts w:ascii="Calibri" w:eastAsia="Times New Roman" w:hAnsi="Calibri" w:cs="Calibri"/>
                <w:color w:val="000000"/>
                <w:kern w:val="0"/>
                <w:lang w:eastAsia="sl-SI"/>
                <w14:ligatures w14:val="none"/>
              </w:rPr>
            </w:pPr>
            <w:r>
              <w:rPr>
                <w:rFonts w:ascii="Calibri" w:hAnsi="Calibri" w:cs="Calibri"/>
                <w:color w:val="000000"/>
              </w:rPr>
              <w:t>14.253</w:t>
            </w:r>
          </w:p>
        </w:tc>
        <w:tc>
          <w:tcPr>
            <w:tcW w:w="1559" w:type="dxa"/>
            <w:tcBorders>
              <w:top w:val="single" w:sz="2" w:space="0" w:color="auto"/>
              <w:bottom w:val="single" w:sz="2" w:space="0" w:color="auto"/>
            </w:tcBorders>
            <w:shd w:val="clear" w:color="auto" w:fill="F4B083" w:themeFill="accent2" w:themeFillTint="99"/>
            <w:noWrap/>
            <w:vAlign w:val="bottom"/>
            <w:hideMark/>
          </w:tcPr>
          <w:p w14:paraId="637A4D00" w14:textId="483A08CE" w:rsidR="003D42BD" w:rsidRPr="00EF580E" w:rsidRDefault="003D42BD" w:rsidP="003D42BD">
            <w:pPr>
              <w:spacing w:after="0"/>
              <w:jc w:val="right"/>
              <w:rPr>
                <w:rFonts w:ascii="Calibri" w:eastAsia="Times New Roman" w:hAnsi="Calibri" w:cs="Calibri"/>
                <w:color w:val="000000"/>
                <w:kern w:val="0"/>
                <w:lang w:eastAsia="sl-SI"/>
                <w14:ligatures w14:val="none"/>
              </w:rPr>
            </w:pPr>
            <w:r>
              <w:rPr>
                <w:rFonts w:ascii="Calibri" w:hAnsi="Calibri" w:cs="Calibri"/>
                <w:color w:val="000000"/>
              </w:rPr>
              <w:t>10,75%</w:t>
            </w:r>
          </w:p>
        </w:tc>
        <w:tc>
          <w:tcPr>
            <w:tcW w:w="2693" w:type="dxa"/>
            <w:tcBorders>
              <w:top w:val="single" w:sz="2" w:space="0" w:color="auto"/>
              <w:bottom w:val="single" w:sz="2" w:space="0" w:color="auto"/>
            </w:tcBorders>
            <w:shd w:val="clear" w:color="auto" w:fill="F4B083" w:themeFill="accent2" w:themeFillTint="99"/>
            <w:noWrap/>
            <w:vAlign w:val="bottom"/>
            <w:hideMark/>
          </w:tcPr>
          <w:p w14:paraId="65E8E545" w14:textId="7FCD7C1E" w:rsidR="003D42BD" w:rsidRPr="00EF580E" w:rsidRDefault="003D42BD" w:rsidP="003D42BD">
            <w:pPr>
              <w:spacing w:after="0"/>
              <w:jc w:val="right"/>
              <w:rPr>
                <w:rFonts w:ascii="Calibri" w:eastAsia="Times New Roman" w:hAnsi="Calibri" w:cs="Calibri"/>
                <w:color w:val="000000"/>
                <w:kern w:val="0"/>
                <w:lang w:eastAsia="sl-SI"/>
                <w14:ligatures w14:val="none"/>
              </w:rPr>
            </w:pPr>
            <w:r>
              <w:rPr>
                <w:rFonts w:ascii="Calibri" w:hAnsi="Calibri" w:cs="Calibri"/>
                <w:color w:val="000000"/>
              </w:rPr>
              <w:t>15.000,00</w:t>
            </w:r>
          </w:p>
        </w:tc>
      </w:tr>
      <w:tr w:rsidR="003D42BD" w:rsidRPr="00EF580E" w14:paraId="6E81F53C" w14:textId="77777777" w:rsidTr="003D42BD">
        <w:trPr>
          <w:trHeight w:val="290"/>
        </w:trPr>
        <w:tc>
          <w:tcPr>
            <w:tcW w:w="3119" w:type="dxa"/>
            <w:tcBorders>
              <w:top w:val="single" w:sz="2" w:space="0" w:color="auto"/>
              <w:bottom w:val="single" w:sz="2" w:space="0" w:color="auto"/>
            </w:tcBorders>
            <w:shd w:val="clear" w:color="auto" w:fill="F4B083" w:themeFill="accent2" w:themeFillTint="99"/>
            <w:noWrap/>
            <w:vAlign w:val="bottom"/>
            <w:hideMark/>
          </w:tcPr>
          <w:p w14:paraId="365D93C9" w14:textId="77777777" w:rsidR="003D42BD" w:rsidRPr="00EF580E" w:rsidRDefault="003D42BD" w:rsidP="003D42BD">
            <w:pPr>
              <w:spacing w:after="0"/>
              <w:rPr>
                <w:rFonts w:ascii="Calibri" w:eastAsia="Times New Roman" w:hAnsi="Calibri" w:cs="Calibri"/>
                <w:color w:val="000000"/>
                <w:kern w:val="0"/>
                <w:lang w:eastAsia="sl-SI"/>
                <w14:ligatures w14:val="none"/>
              </w:rPr>
            </w:pPr>
            <w:r w:rsidRPr="00EF580E">
              <w:rPr>
                <w:rFonts w:ascii="Calibri" w:eastAsia="Times New Roman" w:hAnsi="Calibri" w:cs="Calibri"/>
                <w:color w:val="000000"/>
                <w:kern w:val="0"/>
                <w:lang w:eastAsia="sl-SI"/>
                <w14:ligatures w14:val="none"/>
              </w:rPr>
              <w:t>3. Občina Dolenjske Toplice</w:t>
            </w:r>
          </w:p>
        </w:tc>
        <w:tc>
          <w:tcPr>
            <w:tcW w:w="1709" w:type="dxa"/>
            <w:tcBorders>
              <w:top w:val="single" w:sz="2" w:space="0" w:color="auto"/>
              <w:bottom w:val="single" w:sz="2" w:space="0" w:color="auto"/>
            </w:tcBorders>
            <w:shd w:val="clear" w:color="auto" w:fill="F4B083" w:themeFill="accent2" w:themeFillTint="99"/>
            <w:noWrap/>
            <w:vAlign w:val="bottom"/>
            <w:hideMark/>
          </w:tcPr>
          <w:p w14:paraId="3EFB63AE" w14:textId="16C9DCFE" w:rsidR="003D42BD" w:rsidRPr="00EF580E" w:rsidRDefault="003D42BD" w:rsidP="003D42BD">
            <w:pPr>
              <w:spacing w:after="0"/>
              <w:jc w:val="right"/>
              <w:rPr>
                <w:rFonts w:ascii="Calibri" w:eastAsia="Times New Roman" w:hAnsi="Calibri" w:cs="Calibri"/>
                <w:color w:val="000000"/>
                <w:kern w:val="0"/>
                <w:lang w:eastAsia="sl-SI"/>
                <w14:ligatures w14:val="none"/>
              </w:rPr>
            </w:pPr>
            <w:r>
              <w:rPr>
                <w:rFonts w:ascii="Calibri" w:hAnsi="Calibri" w:cs="Calibri"/>
                <w:color w:val="000000"/>
              </w:rPr>
              <w:t>3.593</w:t>
            </w:r>
          </w:p>
        </w:tc>
        <w:tc>
          <w:tcPr>
            <w:tcW w:w="1559" w:type="dxa"/>
            <w:tcBorders>
              <w:top w:val="single" w:sz="2" w:space="0" w:color="auto"/>
              <w:bottom w:val="single" w:sz="2" w:space="0" w:color="auto"/>
            </w:tcBorders>
            <w:shd w:val="clear" w:color="auto" w:fill="F4B083" w:themeFill="accent2" w:themeFillTint="99"/>
            <w:noWrap/>
            <w:vAlign w:val="bottom"/>
            <w:hideMark/>
          </w:tcPr>
          <w:p w14:paraId="4D2BE5FF" w14:textId="17BDB02C" w:rsidR="003D42BD" w:rsidRPr="00EF580E" w:rsidRDefault="003D42BD" w:rsidP="003D42BD">
            <w:pPr>
              <w:spacing w:after="0"/>
              <w:jc w:val="right"/>
              <w:rPr>
                <w:rFonts w:ascii="Calibri" w:eastAsia="Times New Roman" w:hAnsi="Calibri" w:cs="Calibri"/>
                <w:color w:val="000000"/>
                <w:kern w:val="0"/>
                <w:lang w:eastAsia="sl-SI"/>
                <w14:ligatures w14:val="none"/>
              </w:rPr>
            </w:pPr>
            <w:r>
              <w:rPr>
                <w:rFonts w:ascii="Calibri" w:hAnsi="Calibri" w:cs="Calibri"/>
                <w:color w:val="000000"/>
              </w:rPr>
              <w:t>2,71%</w:t>
            </w:r>
          </w:p>
        </w:tc>
        <w:tc>
          <w:tcPr>
            <w:tcW w:w="2693" w:type="dxa"/>
            <w:tcBorders>
              <w:top w:val="single" w:sz="2" w:space="0" w:color="auto"/>
              <w:bottom w:val="single" w:sz="2" w:space="0" w:color="auto"/>
            </w:tcBorders>
            <w:shd w:val="clear" w:color="auto" w:fill="F4B083" w:themeFill="accent2" w:themeFillTint="99"/>
            <w:noWrap/>
            <w:vAlign w:val="bottom"/>
            <w:hideMark/>
          </w:tcPr>
          <w:p w14:paraId="28235509" w14:textId="4E2D4383" w:rsidR="003D42BD" w:rsidRPr="00EF580E" w:rsidRDefault="003D42BD" w:rsidP="003D42BD">
            <w:pPr>
              <w:spacing w:after="0"/>
              <w:jc w:val="right"/>
              <w:rPr>
                <w:rFonts w:ascii="Calibri" w:eastAsia="Times New Roman" w:hAnsi="Calibri" w:cs="Calibri"/>
                <w:color w:val="000000"/>
                <w:kern w:val="0"/>
                <w:lang w:eastAsia="sl-SI"/>
                <w14:ligatures w14:val="none"/>
              </w:rPr>
            </w:pPr>
            <w:r>
              <w:rPr>
                <w:rFonts w:ascii="Calibri" w:hAnsi="Calibri" w:cs="Calibri"/>
                <w:color w:val="000000"/>
              </w:rPr>
              <w:t>5.000,00</w:t>
            </w:r>
          </w:p>
        </w:tc>
      </w:tr>
      <w:tr w:rsidR="003D42BD" w:rsidRPr="00EF580E" w14:paraId="7B9A15E0" w14:textId="77777777" w:rsidTr="003D42BD">
        <w:trPr>
          <w:trHeight w:val="290"/>
        </w:trPr>
        <w:tc>
          <w:tcPr>
            <w:tcW w:w="3119" w:type="dxa"/>
            <w:tcBorders>
              <w:top w:val="single" w:sz="2" w:space="0" w:color="auto"/>
              <w:bottom w:val="single" w:sz="2" w:space="0" w:color="auto"/>
            </w:tcBorders>
            <w:shd w:val="clear" w:color="auto" w:fill="F4B083" w:themeFill="accent2" w:themeFillTint="99"/>
            <w:noWrap/>
            <w:vAlign w:val="bottom"/>
            <w:hideMark/>
          </w:tcPr>
          <w:p w14:paraId="0AA9FD21" w14:textId="77777777" w:rsidR="003D42BD" w:rsidRPr="00EF580E" w:rsidRDefault="003D42BD" w:rsidP="003D42BD">
            <w:pPr>
              <w:spacing w:after="0"/>
              <w:rPr>
                <w:rFonts w:ascii="Calibri" w:eastAsia="Times New Roman" w:hAnsi="Calibri" w:cs="Calibri"/>
                <w:color w:val="000000"/>
                <w:kern w:val="0"/>
                <w:lang w:eastAsia="sl-SI"/>
                <w14:ligatures w14:val="none"/>
              </w:rPr>
            </w:pPr>
            <w:r w:rsidRPr="00EF580E">
              <w:rPr>
                <w:rFonts w:ascii="Calibri" w:eastAsia="Times New Roman" w:hAnsi="Calibri" w:cs="Calibri"/>
                <w:color w:val="000000"/>
                <w:kern w:val="0"/>
                <w:lang w:eastAsia="sl-SI"/>
                <w14:ligatures w14:val="none"/>
              </w:rPr>
              <w:t>4. Občina Kočevje</w:t>
            </w:r>
          </w:p>
        </w:tc>
        <w:tc>
          <w:tcPr>
            <w:tcW w:w="1709" w:type="dxa"/>
            <w:tcBorders>
              <w:top w:val="single" w:sz="2" w:space="0" w:color="auto"/>
              <w:bottom w:val="single" w:sz="2" w:space="0" w:color="auto"/>
            </w:tcBorders>
            <w:shd w:val="clear" w:color="auto" w:fill="F4B083" w:themeFill="accent2" w:themeFillTint="99"/>
            <w:noWrap/>
            <w:vAlign w:val="bottom"/>
            <w:hideMark/>
          </w:tcPr>
          <w:p w14:paraId="3660980E" w14:textId="1129B7C4" w:rsidR="003D42BD" w:rsidRPr="00EF580E" w:rsidRDefault="003D42BD" w:rsidP="003D42BD">
            <w:pPr>
              <w:spacing w:after="0"/>
              <w:jc w:val="right"/>
              <w:rPr>
                <w:rFonts w:ascii="Calibri" w:eastAsia="Times New Roman" w:hAnsi="Calibri" w:cs="Calibri"/>
                <w:color w:val="000000"/>
                <w:kern w:val="0"/>
                <w:lang w:eastAsia="sl-SI"/>
                <w14:ligatures w14:val="none"/>
              </w:rPr>
            </w:pPr>
            <w:r>
              <w:rPr>
                <w:rFonts w:ascii="Calibri" w:hAnsi="Calibri" w:cs="Calibri"/>
                <w:color w:val="000000"/>
              </w:rPr>
              <w:t>15.648</w:t>
            </w:r>
          </w:p>
        </w:tc>
        <w:tc>
          <w:tcPr>
            <w:tcW w:w="1559" w:type="dxa"/>
            <w:tcBorders>
              <w:top w:val="single" w:sz="2" w:space="0" w:color="auto"/>
              <w:bottom w:val="single" w:sz="2" w:space="0" w:color="auto"/>
            </w:tcBorders>
            <w:shd w:val="clear" w:color="auto" w:fill="F4B083" w:themeFill="accent2" w:themeFillTint="99"/>
            <w:noWrap/>
            <w:vAlign w:val="bottom"/>
            <w:hideMark/>
          </w:tcPr>
          <w:p w14:paraId="32B62C5A" w14:textId="0783F78D" w:rsidR="003D42BD" w:rsidRPr="00EF580E" w:rsidRDefault="003D42BD" w:rsidP="003D42BD">
            <w:pPr>
              <w:spacing w:after="0"/>
              <w:jc w:val="right"/>
              <w:rPr>
                <w:rFonts w:ascii="Calibri" w:eastAsia="Times New Roman" w:hAnsi="Calibri" w:cs="Calibri"/>
                <w:color w:val="000000"/>
                <w:kern w:val="0"/>
                <w:lang w:eastAsia="sl-SI"/>
                <w14:ligatures w14:val="none"/>
              </w:rPr>
            </w:pPr>
            <w:r>
              <w:rPr>
                <w:rFonts w:ascii="Calibri" w:hAnsi="Calibri" w:cs="Calibri"/>
                <w:color w:val="000000"/>
              </w:rPr>
              <w:t>11,80%</w:t>
            </w:r>
          </w:p>
        </w:tc>
        <w:tc>
          <w:tcPr>
            <w:tcW w:w="2693" w:type="dxa"/>
            <w:tcBorders>
              <w:top w:val="single" w:sz="2" w:space="0" w:color="auto"/>
              <w:bottom w:val="single" w:sz="2" w:space="0" w:color="auto"/>
            </w:tcBorders>
            <w:shd w:val="clear" w:color="auto" w:fill="F4B083" w:themeFill="accent2" w:themeFillTint="99"/>
            <w:noWrap/>
            <w:vAlign w:val="bottom"/>
            <w:hideMark/>
          </w:tcPr>
          <w:p w14:paraId="11D03551" w14:textId="174C49F0" w:rsidR="003D42BD" w:rsidRPr="00EF580E" w:rsidRDefault="003D42BD" w:rsidP="003D42BD">
            <w:pPr>
              <w:spacing w:after="0"/>
              <w:jc w:val="right"/>
              <w:rPr>
                <w:rFonts w:ascii="Calibri" w:eastAsia="Times New Roman" w:hAnsi="Calibri" w:cs="Calibri"/>
                <w:color w:val="000000"/>
                <w:kern w:val="0"/>
                <w:lang w:eastAsia="sl-SI"/>
                <w14:ligatures w14:val="none"/>
              </w:rPr>
            </w:pPr>
            <w:r>
              <w:rPr>
                <w:rFonts w:ascii="Calibri" w:hAnsi="Calibri" w:cs="Calibri"/>
                <w:color w:val="000000"/>
              </w:rPr>
              <w:t>10.000,00</w:t>
            </w:r>
          </w:p>
        </w:tc>
      </w:tr>
      <w:tr w:rsidR="003D42BD" w:rsidRPr="00EF580E" w14:paraId="3B16FB97" w14:textId="77777777" w:rsidTr="003D42BD">
        <w:trPr>
          <w:trHeight w:val="290"/>
        </w:trPr>
        <w:tc>
          <w:tcPr>
            <w:tcW w:w="3119" w:type="dxa"/>
            <w:tcBorders>
              <w:top w:val="single" w:sz="2" w:space="0" w:color="auto"/>
              <w:bottom w:val="single" w:sz="2" w:space="0" w:color="auto"/>
            </w:tcBorders>
            <w:shd w:val="clear" w:color="auto" w:fill="F4B083" w:themeFill="accent2" w:themeFillTint="99"/>
            <w:noWrap/>
            <w:vAlign w:val="bottom"/>
            <w:hideMark/>
          </w:tcPr>
          <w:p w14:paraId="61462E14" w14:textId="77777777" w:rsidR="003D42BD" w:rsidRPr="00EF580E" w:rsidRDefault="003D42BD" w:rsidP="003D42BD">
            <w:pPr>
              <w:spacing w:after="0"/>
              <w:rPr>
                <w:rFonts w:ascii="Calibri" w:eastAsia="Times New Roman" w:hAnsi="Calibri" w:cs="Calibri"/>
                <w:color w:val="000000"/>
                <w:kern w:val="0"/>
                <w:lang w:eastAsia="sl-SI"/>
                <w14:ligatures w14:val="none"/>
              </w:rPr>
            </w:pPr>
            <w:r w:rsidRPr="00EF580E">
              <w:rPr>
                <w:rFonts w:ascii="Calibri" w:eastAsia="Times New Roman" w:hAnsi="Calibri" w:cs="Calibri"/>
                <w:color w:val="000000"/>
                <w:kern w:val="0"/>
                <w:lang w:eastAsia="sl-SI"/>
                <w14:ligatures w14:val="none"/>
              </w:rPr>
              <w:t>5. Občina Metlika</w:t>
            </w:r>
          </w:p>
        </w:tc>
        <w:tc>
          <w:tcPr>
            <w:tcW w:w="1709" w:type="dxa"/>
            <w:tcBorders>
              <w:top w:val="single" w:sz="2" w:space="0" w:color="auto"/>
              <w:bottom w:val="single" w:sz="2" w:space="0" w:color="auto"/>
            </w:tcBorders>
            <w:shd w:val="clear" w:color="auto" w:fill="F4B083" w:themeFill="accent2" w:themeFillTint="99"/>
            <w:noWrap/>
            <w:vAlign w:val="bottom"/>
            <w:hideMark/>
          </w:tcPr>
          <w:p w14:paraId="5C62B145" w14:textId="49A39560" w:rsidR="003D42BD" w:rsidRPr="00EF580E" w:rsidRDefault="003D42BD" w:rsidP="003D42BD">
            <w:pPr>
              <w:spacing w:after="0"/>
              <w:jc w:val="right"/>
              <w:rPr>
                <w:rFonts w:ascii="Calibri" w:eastAsia="Times New Roman" w:hAnsi="Calibri" w:cs="Calibri"/>
                <w:color w:val="000000"/>
                <w:kern w:val="0"/>
                <w:lang w:eastAsia="sl-SI"/>
                <w14:ligatures w14:val="none"/>
              </w:rPr>
            </w:pPr>
            <w:r>
              <w:rPr>
                <w:rFonts w:ascii="Calibri" w:hAnsi="Calibri" w:cs="Calibri"/>
                <w:color w:val="000000"/>
              </w:rPr>
              <w:t>8.468</w:t>
            </w:r>
          </w:p>
        </w:tc>
        <w:tc>
          <w:tcPr>
            <w:tcW w:w="1559" w:type="dxa"/>
            <w:tcBorders>
              <w:top w:val="single" w:sz="2" w:space="0" w:color="auto"/>
              <w:bottom w:val="single" w:sz="2" w:space="0" w:color="auto"/>
            </w:tcBorders>
            <w:shd w:val="clear" w:color="auto" w:fill="F4B083" w:themeFill="accent2" w:themeFillTint="99"/>
            <w:noWrap/>
            <w:vAlign w:val="bottom"/>
            <w:hideMark/>
          </w:tcPr>
          <w:p w14:paraId="51379582" w14:textId="4317E81D" w:rsidR="003D42BD" w:rsidRPr="00EF580E" w:rsidRDefault="003D42BD" w:rsidP="003D42BD">
            <w:pPr>
              <w:spacing w:after="0"/>
              <w:jc w:val="right"/>
              <w:rPr>
                <w:rFonts w:ascii="Calibri" w:eastAsia="Times New Roman" w:hAnsi="Calibri" w:cs="Calibri"/>
                <w:color w:val="000000"/>
                <w:kern w:val="0"/>
                <w:lang w:eastAsia="sl-SI"/>
                <w14:ligatures w14:val="none"/>
              </w:rPr>
            </w:pPr>
            <w:r>
              <w:rPr>
                <w:rFonts w:ascii="Calibri" w:hAnsi="Calibri" w:cs="Calibri"/>
                <w:color w:val="000000"/>
              </w:rPr>
              <w:t>6,39%</w:t>
            </w:r>
          </w:p>
        </w:tc>
        <w:tc>
          <w:tcPr>
            <w:tcW w:w="2693" w:type="dxa"/>
            <w:tcBorders>
              <w:top w:val="single" w:sz="2" w:space="0" w:color="auto"/>
              <w:bottom w:val="single" w:sz="2" w:space="0" w:color="auto"/>
            </w:tcBorders>
            <w:shd w:val="clear" w:color="auto" w:fill="F4B083" w:themeFill="accent2" w:themeFillTint="99"/>
            <w:noWrap/>
            <w:vAlign w:val="bottom"/>
            <w:hideMark/>
          </w:tcPr>
          <w:p w14:paraId="5C6F7637" w14:textId="6B0438D6" w:rsidR="003D42BD" w:rsidRPr="00EF580E" w:rsidRDefault="003D42BD" w:rsidP="003D42BD">
            <w:pPr>
              <w:spacing w:after="0"/>
              <w:jc w:val="right"/>
              <w:rPr>
                <w:rFonts w:ascii="Calibri" w:eastAsia="Times New Roman" w:hAnsi="Calibri" w:cs="Calibri"/>
                <w:color w:val="000000"/>
                <w:kern w:val="0"/>
                <w:lang w:eastAsia="sl-SI"/>
                <w14:ligatures w14:val="none"/>
              </w:rPr>
            </w:pPr>
            <w:r>
              <w:rPr>
                <w:rFonts w:ascii="Calibri" w:hAnsi="Calibri" w:cs="Calibri"/>
                <w:color w:val="000000"/>
              </w:rPr>
              <w:t>15.000,00</w:t>
            </w:r>
          </w:p>
        </w:tc>
      </w:tr>
      <w:tr w:rsidR="003D42BD" w:rsidRPr="00EF580E" w14:paraId="782EB3FE" w14:textId="77777777" w:rsidTr="00C15C02">
        <w:trPr>
          <w:trHeight w:val="290"/>
        </w:trPr>
        <w:tc>
          <w:tcPr>
            <w:tcW w:w="3119" w:type="dxa"/>
            <w:tcBorders>
              <w:top w:val="single" w:sz="2" w:space="0" w:color="auto"/>
              <w:bottom w:val="single" w:sz="2" w:space="0" w:color="auto"/>
            </w:tcBorders>
            <w:shd w:val="clear" w:color="auto" w:fill="9CC2E5" w:themeFill="accent5" w:themeFillTint="99"/>
            <w:noWrap/>
            <w:vAlign w:val="bottom"/>
            <w:hideMark/>
          </w:tcPr>
          <w:p w14:paraId="7BBEA100" w14:textId="77777777" w:rsidR="003D42BD" w:rsidRPr="00EF580E" w:rsidRDefault="003D42BD" w:rsidP="003D42BD">
            <w:pPr>
              <w:spacing w:after="0"/>
              <w:rPr>
                <w:rFonts w:ascii="Calibri" w:eastAsia="Times New Roman" w:hAnsi="Calibri" w:cs="Calibri"/>
                <w:color w:val="000000"/>
                <w:kern w:val="0"/>
                <w:lang w:eastAsia="sl-SI"/>
                <w14:ligatures w14:val="none"/>
              </w:rPr>
            </w:pPr>
            <w:r w:rsidRPr="00EF580E">
              <w:rPr>
                <w:rFonts w:ascii="Calibri" w:eastAsia="Times New Roman" w:hAnsi="Calibri" w:cs="Calibri"/>
                <w:color w:val="000000"/>
                <w:kern w:val="0"/>
                <w:lang w:eastAsia="sl-SI"/>
                <w14:ligatures w14:val="none"/>
              </w:rPr>
              <w:t>6. Občina Mirna</w:t>
            </w:r>
          </w:p>
        </w:tc>
        <w:tc>
          <w:tcPr>
            <w:tcW w:w="1709" w:type="dxa"/>
            <w:tcBorders>
              <w:top w:val="single" w:sz="2" w:space="0" w:color="auto"/>
              <w:bottom w:val="single" w:sz="2" w:space="0" w:color="auto"/>
            </w:tcBorders>
            <w:shd w:val="clear" w:color="auto" w:fill="9CC2E5" w:themeFill="accent5" w:themeFillTint="99"/>
            <w:noWrap/>
            <w:vAlign w:val="bottom"/>
            <w:hideMark/>
          </w:tcPr>
          <w:p w14:paraId="5B337256" w14:textId="1473D50C" w:rsidR="003D42BD" w:rsidRPr="00EF580E" w:rsidRDefault="003D42BD" w:rsidP="003D42BD">
            <w:pPr>
              <w:spacing w:after="0"/>
              <w:jc w:val="right"/>
              <w:rPr>
                <w:rFonts w:ascii="Calibri" w:eastAsia="Times New Roman" w:hAnsi="Calibri" w:cs="Calibri"/>
                <w:color w:val="000000"/>
                <w:kern w:val="0"/>
                <w:lang w:eastAsia="sl-SI"/>
                <w14:ligatures w14:val="none"/>
              </w:rPr>
            </w:pPr>
            <w:r>
              <w:rPr>
                <w:rFonts w:ascii="Calibri" w:hAnsi="Calibri" w:cs="Calibri"/>
                <w:color w:val="000000"/>
              </w:rPr>
              <w:t>2.732</w:t>
            </w:r>
          </w:p>
        </w:tc>
        <w:tc>
          <w:tcPr>
            <w:tcW w:w="1559" w:type="dxa"/>
            <w:tcBorders>
              <w:top w:val="single" w:sz="2" w:space="0" w:color="auto"/>
              <w:bottom w:val="single" w:sz="2" w:space="0" w:color="auto"/>
            </w:tcBorders>
            <w:shd w:val="clear" w:color="auto" w:fill="9CC2E5" w:themeFill="accent5" w:themeFillTint="99"/>
            <w:noWrap/>
            <w:vAlign w:val="bottom"/>
            <w:hideMark/>
          </w:tcPr>
          <w:p w14:paraId="5FB63877" w14:textId="14F9DDDB" w:rsidR="003D42BD" w:rsidRPr="00EF580E" w:rsidRDefault="003D42BD" w:rsidP="003D42BD">
            <w:pPr>
              <w:spacing w:after="0"/>
              <w:jc w:val="right"/>
              <w:rPr>
                <w:rFonts w:ascii="Calibri" w:eastAsia="Times New Roman" w:hAnsi="Calibri" w:cs="Calibri"/>
                <w:color w:val="000000"/>
                <w:kern w:val="0"/>
                <w:lang w:eastAsia="sl-SI"/>
                <w14:ligatures w14:val="none"/>
              </w:rPr>
            </w:pPr>
            <w:r>
              <w:rPr>
                <w:rFonts w:ascii="Calibri" w:hAnsi="Calibri" w:cs="Calibri"/>
                <w:color w:val="000000"/>
              </w:rPr>
              <w:t>2,06%</w:t>
            </w:r>
          </w:p>
        </w:tc>
        <w:tc>
          <w:tcPr>
            <w:tcW w:w="2693" w:type="dxa"/>
            <w:tcBorders>
              <w:top w:val="single" w:sz="2" w:space="0" w:color="auto"/>
              <w:bottom w:val="single" w:sz="2" w:space="0" w:color="auto"/>
            </w:tcBorders>
            <w:shd w:val="clear" w:color="auto" w:fill="9CC2E5" w:themeFill="accent5" w:themeFillTint="99"/>
            <w:noWrap/>
            <w:vAlign w:val="bottom"/>
            <w:hideMark/>
          </w:tcPr>
          <w:p w14:paraId="6CA1044B" w14:textId="11CC4880" w:rsidR="003D42BD" w:rsidRPr="00EF580E" w:rsidRDefault="003D42BD" w:rsidP="003D42BD">
            <w:pPr>
              <w:spacing w:after="0"/>
              <w:jc w:val="right"/>
              <w:rPr>
                <w:rFonts w:ascii="Calibri" w:eastAsia="Times New Roman" w:hAnsi="Calibri" w:cs="Calibri"/>
                <w:color w:val="000000"/>
                <w:kern w:val="0"/>
                <w:lang w:eastAsia="sl-SI"/>
                <w14:ligatures w14:val="none"/>
              </w:rPr>
            </w:pPr>
            <w:r>
              <w:rPr>
                <w:rFonts w:ascii="Calibri" w:hAnsi="Calibri" w:cs="Calibri"/>
                <w:color w:val="000000"/>
              </w:rPr>
              <w:t>2.725,76</w:t>
            </w:r>
          </w:p>
        </w:tc>
      </w:tr>
      <w:tr w:rsidR="003D42BD" w:rsidRPr="00EF580E" w14:paraId="6192BADC" w14:textId="77777777" w:rsidTr="00C15C02">
        <w:trPr>
          <w:trHeight w:val="290"/>
        </w:trPr>
        <w:tc>
          <w:tcPr>
            <w:tcW w:w="3119" w:type="dxa"/>
            <w:tcBorders>
              <w:top w:val="single" w:sz="2" w:space="0" w:color="auto"/>
              <w:bottom w:val="single" w:sz="2" w:space="0" w:color="auto"/>
            </w:tcBorders>
            <w:shd w:val="clear" w:color="auto" w:fill="DEEAF6" w:themeFill="accent5" w:themeFillTint="33"/>
            <w:noWrap/>
            <w:vAlign w:val="bottom"/>
            <w:hideMark/>
          </w:tcPr>
          <w:p w14:paraId="32BC1621" w14:textId="77777777" w:rsidR="003D42BD" w:rsidRPr="00EF580E" w:rsidRDefault="003D42BD" w:rsidP="003D42BD">
            <w:pPr>
              <w:spacing w:after="0"/>
              <w:rPr>
                <w:rFonts w:ascii="Calibri" w:eastAsia="Times New Roman" w:hAnsi="Calibri" w:cs="Calibri"/>
                <w:color w:val="000000"/>
                <w:kern w:val="0"/>
                <w:lang w:eastAsia="sl-SI"/>
                <w14:ligatures w14:val="none"/>
              </w:rPr>
            </w:pPr>
            <w:r w:rsidRPr="00EF580E">
              <w:rPr>
                <w:rFonts w:ascii="Calibri" w:eastAsia="Times New Roman" w:hAnsi="Calibri" w:cs="Calibri"/>
                <w:color w:val="000000"/>
                <w:kern w:val="0"/>
                <w:lang w:eastAsia="sl-SI"/>
                <w14:ligatures w14:val="none"/>
              </w:rPr>
              <w:t>7. Občina Mirna Peč</w:t>
            </w:r>
          </w:p>
        </w:tc>
        <w:tc>
          <w:tcPr>
            <w:tcW w:w="1709" w:type="dxa"/>
            <w:tcBorders>
              <w:top w:val="single" w:sz="2" w:space="0" w:color="auto"/>
              <w:bottom w:val="single" w:sz="2" w:space="0" w:color="auto"/>
            </w:tcBorders>
            <w:shd w:val="clear" w:color="auto" w:fill="DEEAF6" w:themeFill="accent5" w:themeFillTint="33"/>
            <w:noWrap/>
            <w:vAlign w:val="bottom"/>
            <w:hideMark/>
          </w:tcPr>
          <w:p w14:paraId="74A9B764" w14:textId="37AA8019" w:rsidR="003D42BD" w:rsidRPr="00EF580E" w:rsidRDefault="003D42BD" w:rsidP="003D42BD">
            <w:pPr>
              <w:spacing w:after="0"/>
              <w:jc w:val="right"/>
              <w:rPr>
                <w:rFonts w:ascii="Calibri" w:eastAsia="Times New Roman" w:hAnsi="Calibri" w:cs="Calibri"/>
                <w:color w:val="000000"/>
                <w:kern w:val="0"/>
                <w:lang w:eastAsia="sl-SI"/>
                <w14:ligatures w14:val="none"/>
              </w:rPr>
            </w:pPr>
            <w:r>
              <w:rPr>
                <w:rFonts w:ascii="Calibri" w:hAnsi="Calibri" w:cs="Calibri"/>
                <w:color w:val="000000"/>
              </w:rPr>
              <w:t>3.152</w:t>
            </w:r>
          </w:p>
        </w:tc>
        <w:tc>
          <w:tcPr>
            <w:tcW w:w="1559" w:type="dxa"/>
            <w:tcBorders>
              <w:top w:val="single" w:sz="2" w:space="0" w:color="auto"/>
              <w:bottom w:val="single" w:sz="2" w:space="0" w:color="auto"/>
            </w:tcBorders>
            <w:shd w:val="clear" w:color="auto" w:fill="DEEAF6" w:themeFill="accent5" w:themeFillTint="33"/>
            <w:noWrap/>
            <w:vAlign w:val="bottom"/>
            <w:hideMark/>
          </w:tcPr>
          <w:p w14:paraId="2DED7B81" w14:textId="7DC6B4A7" w:rsidR="003D42BD" w:rsidRPr="00EF580E" w:rsidRDefault="003D42BD" w:rsidP="003D42BD">
            <w:pPr>
              <w:spacing w:after="0"/>
              <w:jc w:val="right"/>
              <w:rPr>
                <w:rFonts w:ascii="Calibri" w:eastAsia="Times New Roman" w:hAnsi="Calibri" w:cs="Calibri"/>
                <w:color w:val="000000"/>
                <w:kern w:val="0"/>
                <w:lang w:eastAsia="sl-SI"/>
                <w14:ligatures w14:val="none"/>
              </w:rPr>
            </w:pPr>
            <w:r>
              <w:rPr>
                <w:rFonts w:ascii="Calibri" w:hAnsi="Calibri" w:cs="Calibri"/>
                <w:color w:val="000000"/>
              </w:rPr>
              <w:t>2,38%</w:t>
            </w:r>
          </w:p>
        </w:tc>
        <w:tc>
          <w:tcPr>
            <w:tcW w:w="2693" w:type="dxa"/>
            <w:tcBorders>
              <w:top w:val="single" w:sz="2" w:space="0" w:color="auto"/>
              <w:bottom w:val="single" w:sz="2" w:space="0" w:color="auto"/>
            </w:tcBorders>
            <w:shd w:val="clear" w:color="auto" w:fill="DEEAF6" w:themeFill="accent5" w:themeFillTint="33"/>
            <w:noWrap/>
            <w:vAlign w:val="bottom"/>
            <w:hideMark/>
          </w:tcPr>
          <w:p w14:paraId="0AA7C73A" w14:textId="596885C2" w:rsidR="003D42BD" w:rsidRPr="00EF580E" w:rsidRDefault="003D42BD" w:rsidP="003D42BD">
            <w:pPr>
              <w:spacing w:after="0"/>
              <w:jc w:val="right"/>
              <w:rPr>
                <w:rFonts w:ascii="Calibri" w:eastAsia="Times New Roman" w:hAnsi="Calibri" w:cs="Calibri"/>
                <w:color w:val="000000"/>
                <w:kern w:val="0"/>
                <w:lang w:eastAsia="sl-SI"/>
                <w14:ligatures w14:val="none"/>
              </w:rPr>
            </w:pPr>
            <w:r>
              <w:rPr>
                <w:rFonts w:ascii="Calibri" w:hAnsi="Calibri" w:cs="Calibri"/>
                <w:color w:val="000000"/>
              </w:rPr>
              <w:t>3.144,80</w:t>
            </w:r>
          </w:p>
        </w:tc>
      </w:tr>
      <w:tr w:rsidR="003D42BD" w:rsidRPr="00EF580E" w14:paraId="7C8FA05B" w14:textId="77777777" w:rsidTr="00C15C02">
        <w:trPr>
          <w:trHeight w:val="290"/>
        </w:trPr>
        <w:tc>
          <w:tcPr>
            <w:tcW w:w="3119" w:type="dxa"/>
            <w:tcBorders>
              <w:top w:val="single" w:sz="2" w:space="0" w:color="auto"/>
              <w:bottom w:val="single" w:sz="2" w:space="0" w:color="auto"/>
            </w:tcBorders>
            <w:shd w:val="clear" w:color="auto" w:fill="9CC2E5" w:themeFill="accent5" w:themeFillTint="99"/>
            <w:noWrap/>
            <w:vAlign w:val="bottom"/>
            <w:hideMark/>
          </w:tcPr>
          <w:p w14:paraId="55176C01" w14:textId="77777777" w:rsidR="003D42BD" w:rsidRPr="00EF580E" w:rsidRDefault="003D42BD" w:rsidP="003D42BD">
            <w:pPr>
              <w:spacing w:after="0"/>
              <w:rPr>
                <w:rFonts w:ascii="Calibri" w:eastAsia="Times New Roman" w:hAnsi="Calibri" w:cs="Calibri"/>
                <w:color w:val="000000"/>
                <w:kern w:val="0"/>
                <w:lang w:eastAsia="sl-SI"/>
                <w14:ligatures w14:val="none"/>
              </w:rPr>
            </w:pPr>
            <w:r w:rsidRPr="00EF580E">
              <w:rPr>
                <w:rFonts w:ascii="Calibri" w:eastAsia="Times New Roman" w:hAnsi="Calibri" w:cs="Calibri"/>
                <w:color w:val="000000"/>
                <w:kern w:val="0"/>
                <w:lang w:eastAsia="sl-SI"/>
                <w14:ligatures w14:val="none"/>
              </w:rPr>
              <w:t>8. Občina Mokronog-Trebelno</w:t>
            </w:r>
          </w:p>
        </w:tc>
        <w:tc>
          <w:tcPr>
            <w:tcW w:w="1709" w:type="dxa"/>
            <w:tcBorders>
              <w:top w:val="single" w:sz="2" w:space="0" w:color="auto"/>
              <w:bottom w:val="single" w:sz="2" w:space="0" w:color="auto"/>
            </w:tcBorders>
            <w:shd w:val="clear" w:color="auto" w:fill="9CC2E5" w:themeFill="accent5" w:themeFillTint="99"/>
            <w:noWrap/>
            <w:vAlign w:val="bottom"/>
            <w:hideMark/>
          </w:tcPr>
          <w:p w14:paraId="7E973348" w14:textId="4E8E10B4" w:rsidR="003D42BD" w:rsidRPr="00EF580E" w:rsidRDefault="003D42BD" w:rsidP="003D42BD">
            <w:pPr>
              <w:spacing w:after="0"/>
              <w:jc w:val="right"/>
              <w:rPr>
                <w:rFonts w:ascii="Calibri" w:eastAsia="Times New Roman" w:hAnsi="Calibri" w:cs="Calibri"/>
                <w:color w:val="000000"/>
                <w:kern w:val="0"/>
                <w:lang w:eastAsia="sl-SI"/>
                <w14:ligatures w14:val="none"/>
              </w:rPr>
            </w:pPr>
            <w:r>
              <w:rPr>
                <w:rFonts w:ascii="Calibri" w:hAnsi="Calibri" w:cs="Calibri"/>
                <w:color w:val="000000"/>
              </w:rPr>
              <w:t>3.229</w:t>
            </w:r>
          </w:p>
        </w:tc>
        <w:tc>
          <w:tcPr>
            <w:tcW w:w="1559" w:type="dxa"/>
            <w:tcBorders>
              <w:top w:val="single" w:sz="2" w:space="0" w:color="auto"/>
              <w:bottom w:val="single" w:sz="2" w:space="0" w:color="auto"/>
            </w:tcBorders>
            <w:shd w:val="clear" w:color="auto" w:fill="9CC2E5" w:themeFill="accent5" w:themeFillTint="99"/>
            <w:noWrap/>
            <w:vAlign w:val="bottom"/>
            <w:hideMark/>
          </w:tcPr>
          <w:p w14:paraId="099757F5" w14:textId="62DAAD5A" w:rsidR="003D42BD" w:rsidRPr="00EF580E" w:rsidRDefault="003D42BD" w:rsidP="003D42BD">
            <w:pPr>
              <w:spacing w:after="0"/>
              <w:jc w:val="right"/>
              <w:rPr>
                <w:rFonts w:ascii="Calibri" w:eastAsia="Times New Roman" w:hAnsi="Calibri" w:cs="Calibri"/>
                <w:color w:val="000000"/>
                <w:kern w:val="0"/>
                <w:lang w:eastAsia="sl-SI"/>
                <w14:ligatures w14:val="none"/>
              </w:rPr>
            </w:pPr>
            <w:r>
              <w:rPr>
                <w:rFonts w:ascii="Calibri" w:hAnsi="Calibri" w:cs="Calibri"/>
                <w:color w:val="000000"/>
              </w:rPr>
              <w:t>2,44%</w:t>
            </w:r>
          </w:p>
        </w:tc>
        <w:tc>
          <w:tcPr>
            <w:tcW w:w="2693" w:type="dxa"/>
            <w:tcBorders>
              <w:top w:val="single" w:sz="2" w:space="0" w:color="auto"/>
              <w:bottom w:val="single" w:sz="2" w:space="0" w:color="auto"/>
            </w:tcBorders>
            <w:shd w:val="clear" w:color="auto" w:fill="9CC2E5" w:themeFill="accent5" w:themeFillTint="99"/>
            <w:noWrap/>
            <w:vAlign w:val="bottom"/>
            <w:hideMark/>
          </w:tcPr>
          <w:p w14:paraId="0E15FCCB" w14:textId="013FF128" w:rsidR="003D42BD" w:rsidRPr="00EF580E" w:rsidRDefault="003D42BD" w:rsidP="003D42BD">
            <w:pPr>
              <w:spacing w:after="0"/>
              <w:jc w:val="right"/>
              <w:rPr>
                <w:rFonts w:ascii="Calibri" w:eastAsia="Times New Roman" w:hAnsi="Calibri" w:cs="Calibri"/>
                <w:color w:val="000000"/>
                <w:kern w:val="0"/>
                <w:lang w:eastAsia="sl-SI"/>
                <w14:ligatures w14:val="none"/>
              </w:rPr>
            </w:pPr>
            <w:r>
              <w:rPr>
                <w:rFonts w:ascii="Calibri" w:hAnsi="Calibri" w:cs="Calibri"/>
                <w:color w:val="000000"/>
              </w:rPr>
              <w:t>3.221,63</w:t>
            </w:r>
          </w:p>
        </w:tc>
      </w:tr>
      <w:tr w:rsidR="003D42BD" w:rsidRPr="00EF580E" w14:paraId="0B39BF9F" w14:textId="77777777" w:rsidTr="006678B6">
        <w:trPr>
          <w:trHeight w:val="290"/>
        </w:trPr>
        <w:tc>
          <w:tcPr>
            <w:tcW w:w="3119" w:type="dxa"/>
            <w:tcBorders>
              <w:top w:val="single" w:sz="2" w:space="0" w:color="auto"/>
              <w:bottom w:val="single" w:sz="2" w:space="0" w:color="auto"/>
            </w:tcBorders>
            <w:shd w:val="clear" w:color="auto" w:fill="F4B083" w:themeFill="accent2" w:themeFillTint="99"/>
            <w:noWrap/>
            <w:vAlign w:val="bottom"/>
            <w:hideMark/>
          </w:tcPr>
          <w:p w14:paraId="2D07AE22" w14:textId="77777777" w:rsidR="003D42BD" w:rsidRPr="00EF580E" w:rsidRDefault="003D42BD" w:rsidP="003D42BD">
            <w:pPr>
              <w:spacing w:after="0"/>
              <w:rPr>
                <w:rFonts w:ascii="Calibri" w:eastAsia="Times New Roman" w:hAnsi="Calibri" w:cs="Calibri"/>
                <w:color w:val="000000"/>
                <w:kern w:val="0"/>
                <w:lang w:eastAsia="sl-SI"/>
                <w14:ligatures w14:val="none"/>
              </w:rPr>
            </w:pPr>
            <w:r w:rsidRPr="00EF580E">
              <w:rPr>
                <w:rFonts w:ascii="Calibri" w:eastAsia="Times New Roman" w:hAnsi="Calibri" w:cs="Calibri"/>
                <w:color w:val="000000"/>
                <w:kern w:val="0"/>
                <w:lang w:eastAsia="sl-SI"/>
                <w14:ligatures w14:val="none"/>
              </w:rPr>
              <w:t>9. Občina Semič</w:t>
            </w:r>
          </w:p>
        </w:tc>
        <w:tc>
          <w:tcPr>
            <w:tcW w:w="1709" w:type="dxa"/>
            <w:tcBorders>
              <w:top w:val="single" w:sz="2" w:space="0" w:color="auto"/>
              <w:bottom w:val="single" w:sz="2" w:space="0" w:color="auto"/>
            </w:tcBorders>
            <w:shd w:val="clear" w:color="auto" w:fill="F4B083" w:themeFill="accent2" w:themeFillTint="99"/>
            <w:noWrap/>
            <w:vAlign w:val="bottom"/>
            <w:hideMark/>
          </w:tcPr>
          <w:p w14:paraId="1AB0178F" w14:textId="38422BEF" w:rsidR="003D42BD" w:rsidRPr="00EF580E" w:rsidRDefault="003D42BD" w:rsidP="003D42BD">
            <w:pPr>
              <w:spacing w:after="0"/>
              <w:jc w:val="right"/>
              <w:rPr>
                <w:rFonts w:ascii="Calibri" w:eastAsia="Times New Roman" w:hAnsi="Calibri" w:cs="Calibri"/>
                <w:color w:val="000000"/>
                <w:kern w:val="0"/>
                <w:lang w:eastAsia="sl-SI"/>
                <w14:ligatures w14:val="none"/>
              </w:rPr>
            </w:pPr>
            <w:r>
              <w:rPr>
                <w:rFonts w:ascii="Calibri" w:hAnsi="Calibri" w:cs="Calibri"/>
                <w:color w:val="000000"/>
              </w:rPr>
              <w:t>3.836</w:t>
            </w:r>
          </w:p>
        </w:tc>
        <w:tc>
          <w:tcPr>
            <w:tcW w:w="1559" w:type="dxa"/>
            <w:tcBorders>
              <w:top w:val="single" w:sz="2" w:space="0" w:color="auto"/>
              <w:bottom w:val="single" w:sz="2" w:space="0" w:color="auto"/>
            </w:tcBorders>
            <w:shd w:val="clear" w:color="auto" w:fill="F4B083" w:themeFill="accent2" w:themeFillTint="99"/>
            <w:noWrap/>
            <w:vAlign w:val="bottom"/>
            <w:hideMark/>
          </w:tcPr>
          <w:p w14:paraId="70848E2E" w14:textId="4CA2447C" w:rsidR="003D42BD" w:rsidRPr="00EF580E" w:rsidRDefault="003D42BD" w:rsidP="003D42BD">
            <w:pPr>
              <w:spacing w:after="0"/>
              <w:jc w:val="right"/>
              <w:rPr>
                <w:rFonts w:ascii="Calibri" w:eastAsia="Times New Roman" w:hAnsi="Calibri" w:cs="Calibri"/>
                <w:color w:val="000000"/>
                <w:kern w:val="0"/>
                <w:lang w:eastAsia="sl-SI"/>
                <w14:ligatures w14:val="none"/>
              </w:rPr>
            </w:pPr>
            <w:r>
              <w:rPr>
                <w:rFonts w:ascii="Calibri" w:hAnsi="Calibri" w:cs="Calibri"/>
                <w:color w:val="000000"/>
              </w:rPr>
              <w:t>2,89%</w:t>
            </w:r>
          </w:p>
        </w:tc>
        <w:tc>
          <w:tcPr>
            <w:tcW w:w="2693" w:type="dxa"/>
            <w:tcBorders>
              <w:top w:val="single" w:sz="2" w:space="0" w:color="auto"/>
              <w:bottom w:val="single" w:sz="2" w:space="0" w:color="auto"/>
            </w:tcBorders>
            <w:shd w:val="clear" w:color="auto" w:fill="F4B083" w:themeFill="accent2" w:themeFillTint="99"/>
            <w:noWrap/>
            <w:vAlign w:val="bottom"/>
            <w:hideMark/>
          </w:tcPr>
          <w:p w14:paraId="284F749F" w14:textId="53837065" w:rsidR="003D42BD" w:rsidRPr="00EF580E" w:rsidRDefault="003D42BD" w:rsidP="003D42BD">
            <w:pPr>
              <w:spacing w:after="0"/>
              <w:jc w:val="right"/>
              <w:rPr>
                <w:rFonts w:ascii="Calibri" w:eastAsia="Times New Roman" w:hAnsi="Calibri" w:cs="Calibri"/>
                <w:color w:val="000000"/>
                <w:kern w:val="0"/>
                <w:lang w:eastAsia="sl-SI"/>
                <w14:ligatures w14:val="none"/>
              </w:rPr>
            </w:pPr>
            <w:r>
              <w:rPr>
                <w:rFonts w:ascii="Calibri" w:hAnsi="Calibri" w:cs="Calibri"/>
                <w:color w:val="000000"/>
              </w:rPr>
              <w:t>30.000,00</w:t>
            </w:r>
          </w:p>
        </w:tc>
      </w:tr>
      <w:tr w:rsidR="003D42BD" w:rsidRPr="00EF580E" w14:paraId="689D5F07" w14:textId="77777777" w:rsidTr="00C15C02">
        <w:trPr>
          <w:trHeight w:val="290"/>
        </w:trPr>
        <w:tc>
          <w:tcPr>
            <w:tcW w:w="3119" w:type="dxa"/>
            <w:tcBorders>
              <w:top w:val="single" w:sz="2" w:space="0" w:color="auto"/>
              <w:bottom w:val="single" w:sz="2" w:space="0" w:color="auto"/>
            </w:tcBorders>
            <w:shd w:val="clear" w:color="auto" w:fill="9CC2E5" w:themeFill="accent5" w:themeFillTint="99"/>
            <w:noWrap/>
            <w:vAlign w:val="bottom"/>
            <w:hideMark/>
          </w:tcPr>
          <w:p w14:paraId="4178F1A8" w14:textId="77777777" w:rsidR="003D42BD" w:rsidRPr="00EF580E" w:rsidRDefault="003D42BD" w:rsidP="003D42BD">
            <w:pPr>
              <w:spacing w:after="0"/>
              <w:rPr>
                <w:rFonts w:ascii="Calibri" w:eastAsia="Times New Roman" w:hAnsi="Calibri" w:cs="Calibri"/>
                <w:color w:val="000000"/>
                <w:kern w:val="0"/>
                <w:lang w:eastAsia="sl-SI"/>
                <w14:ligatures w14:val="none"/>
              </w:rPr>
            </w:pPr>
            <w:r w:rsidRPr="00EF580E">
              <w:rPr>
                <w:rFonts w:ascii="Calibri" w:eastAsia="Times New Roman" w:hAnsi="Calibri" w:cs="Calibri"/>
                <w:color w:val="000000"/>
                <w:kern w:val="0"/>
                <w:lang w:eastAsia="sl-SI"/>
                <w14:ligatures w14:val="none"/>
              </w:rPr>
              <w:t>10. Občina Straža</w:t>
            </w:r>
          </w:p>
        </w:tc>
        <w:tc>
          <w:tcPr>
            <w:tcW w:w="1709" w:type="dxa"/>
            <w:tcBorders>
              <w:top w:val="single" w:sz="2" w:space="0" w:color="auto"/>
              <w:bottom w:val="single" w:sz="2" w:space="0" w:color="auto"/>
            </w:tcBorders>
            <w:shd w:val="clear" w:color="auto" w:fill="9CC2E5" w:themeFill="accent5" w:themeFillTint="99"/>
            <w:noWrap/>
            <w:vAlign w:val="bottom"/>
            <w:hideMark/>
          </w:tcPr>
          <w:p w14:paraId="57DB8B07" w14:textId="48C1A1A1" w:rsidR="003D42BD" w:rsidRPr="00EF580E" w:rsidRDefault="003D42BD" w:rsidP="003D42BD">
            <w:pPr>
              <w:spacing w:after="0"/>
              <w:jc w:val="right"/>
              <w:rPr>
                <w:rFonts w:ascii="Calibri" w:eastAsia="Times New Roman" w:hAnsi="Calibri" w:cs="Calibri"/>
                <w:color w:val="000000"/>
                <w:kern w:val="0"/>
                <w:lang w:eastAsia="sl-SI"/>
                <w14:ligatures w14:val="none"/>
              </w:rPr>
            </w:pPr>
            <w:r>
              <w:rPr>
                <w:rFonts w:ascii="Calibri" w:hAnsi="Calibri" w:cs="Calibri"/>
                <w:color w:val="000000"/>
              </w:rPr>
              <w:t>3.875</w:t>
            </w:r>
          </w:p>
        </w:tc>
        <w:tc>
          <w:tcPr>
            <w:tcW w:w="1559" w:type="dxa"/>
            <w:tcBorders>
              <w:top w:val="single" w:sz="2" w:space="0" w:color="auto"/>
              <w:bottom w:val="single" w:sz="2" w:space="0" w:color="auto"/>
            </w:tcBorders>
            <w:shd w:val="clear" w:color="auto" w:fill="9CC2E5" w:themeFill="accent5" w:themeFillTint="99"/>
            <w:noWrap/>
            <w:vAlign w:val="bottom"/>
            <w:hideMark/>
          </w:tcPr>
          <w:p w14:paraId="1C7172F2" w14:textId="26802F16" w:rsidR="003D42BD" w:rsidRPr="00EF580E" w:rsidRDefault="003D42BD" w:rsidP="003D42BD">
            <w:pPr>
              <w:spacing w:after="0"/>
              <w:jc w:val="right"/>
              <w:rPr>
                <w:rFonts w:ascii="Calibri" w:eastAsia="Times New Roman" w:hAnsi="Calibri" w:cs="Calibri"/>
                <w:color w:val="000000"/>
                <w:kern w:val="0"/>
                <w:lang w:eastAsia="sl-SI"/>
                <w14:ligatures w14:val="none"/>
              </w:rPr>
            </w:pPr>
            <w:r>
              <w:rPr>
                <w:rFonts w:ascii="Calibri" w:hAnsi="Calibri" w:cs="Calibri"/>
                <w:color w:val="000000"/>
              </w:rPr>
              <w:t>2,92%</w:t>
            </w:r>
          </w:p>
        </w:tc>
        <w:tc>
          <w:tcPr>
            <w:tcW w:w="2693" w:type="dxa"/>
            <w:tcBorders>
              <w:top w:val="single" w:sz="2" w:space="0" w:color="auto"/>
              <w:bottom w:val="single" w:sz="2" w:space="0" w:color="auto"/>
            </w:tcBorders>
            <w:shd w:val="clear" w:color="auto" w:fill="9CC2E5" w:themeFill="accent5" w:themeFillTint="99"/>
            <w:noWrap/>
            <w:vAlign w:val="bottom"/>
            <w:hideMark/>
          </w:tcPr>
          <w:p w14:paraId="47537ADE" w14:textId="43225D96" w:rsidR="003D42BD" w:rsidRPr="00EF580E" w:rsidRDefault="003D42BD" w:rsidP="003D42BD">
            <w:pPr>
              <w:spacing w:after="0"/>
              <w:jc w:val="right"/>
              <w:rPr>
                <w:rFonts w:ascii="Calibri" w:eastAsia="Times New Roman" w:hAnsi="Calibri" w:cs="Calibri"/>
                <w:color w:val="000000"/>
                <w:kern w:val="0"/>
                <w:lang w:eastAsia="sl-SI"/>
                <w14:ligatures w14:val="none"/>
              </w:rPr>
            </w:pPr>
            <w:r>
              <w:rPr>
                <w:rFonts w:ascii="Calibri" w:hAnsi="Calibri" w:cs="Calibri"/>
                <w:color w:val="000000"/>
              </w:rPr>
              <w:t>3.866,15</w:t>
            </w:r>
          </w:p>
        </w:tc>
      </w:tr>
      <w:tr w:rsidR="003D42BD" w:rsidRPr="00EF580E" w14:paraId="229BFFAE" w14:textId="77777777" w:rsidTr="00C15C02">
        <w:trPr>
          <w:trHeight w:val="290"/>
        </w:trPr>
        <w:tc>
          <w:tcPr>
            <w:tcW w:w="3119" w:type="dxa"/>
            <w:tcBorders>
              <w:top w:val="single" w:sz="2" w:space="0" w:color="auto"/>
              <w:bottom w:val="single" w:sz="2" w:space="0" w:color="auto"/>
            </w:tcBorders>
            <w:shd w:val="clear" w:color="auto" w:fill="DEEAF6" w:themeFill="accent5" w:themeFillTint="33"/>
            <w:noWrap/>
            <w:vAlign w:val="bottom"/>
            <w:hideMark/>
          </w:tcPr>
          <w:p w14:paraId="78537B36" w14:textId="77777777" w:rsidR="003D42BD" w:rsidRPr="00EF580E" w:rsidRDefault="003D42BD" w:rsidP="003D42BD">
            <w:pPr>
              <w:spacing w:after="0"/>
              <w:rPr>
                <w:rFonts w:ascii="Calibri" w:eastAsia="Times New Roman" w:hAnsi="Calibri" w:cs="Calibri"/>
                <w:color w:val="000000"/>
                <w:kern w:val="0"/>
                <w:lang w:eastAsia="sl-SI"/>
                <w14:ligatures w14:val="none"/>
              </w:rPr>
            </w:pPr>
            <w:r w:rsidRPr="00EF580E">
              <w:rPr>
                <w:rFonts w:ascii="Calibri" w:eastAsia="Times New Roman" w:hAnsi="Calibri" w:cs="Calibri"/>
                <w:color w:val="000000"/>
                <w:kern w:val="0"/>
                <w:lang w:eastAsia="sl-SI"/>
                <w14:ligatures w14:val="none"/>
              </w:rPr>
              <w:t>11. Občina Šentjernej</w:t>
            </w:r>
          </w:p>
        </w:tc>
        <w:tc>
          <w:tcPr>
            <w:tcW w:w="1709" w:type="dxa"/>
            <w:tcBorders>
              <w:top w:val="single" w:sz="2" w:space="0" w:color="auto"/>
              <w:bottom w:val="single" w:sz="2" w:space="0" w:color="auto"/>
            </w:tcBorders>
            <w:shd w:val="clear" w:color="auto" w:fill="DEEAF6" w:themeFill="accent5" w:themeFillTint="33"/>
            <w:noWrap/>
            <w:vAlign w:val="bottom"/>
            <w:hideMark/>
          </w:tcPr>
          <w:p w14:paraId="35AAC77F" w14:textId="2D7E1261" w:rsidR="003D42BD" w:rsidRPr="00EF580E" w:rsidRDefault="003D42BD" w:rsidP="003D42BD">
            <w:pPr>
              <w:spacing w:after="0"/>
              <w:jc w:val="right"/>
              <w:rPr>
                <w:rFonts w:ascii="Calibri" w:eastAsia="Times New Roman" w:hAnsi="Calibri" w:cs="Calibri"/>
                <w:color w:val="000000"/>
                <w:kern w:val="0"/>
                <w:lang w:eastAsia="sl-SI"/>
                <w14:ligatures w14:val="none"/>
              </w:rPr>
            </w:pPr>
            <w:r>
              <w:rPr>
                <w:rFonts w:ascii="Calibri" w:hAnsi="Calibri" w:cs="Calibri"/>
                <w:color w:val="000000"/>
              </w:rPr>
              <w:t>7.421</w:t>
            </w:r>
          </w:p>
        </w:tc>
        <w:tc>
          <w:tcPr>
            <w:tcW w:w="1559" w:type="dxa"/>
            <w:tcBorders>
              <w:top w:val="single" w:sz="2" w:space="0" w:color="auto"/>
              <w:bottom w:val="single" w:sz="2" w:space="0" w:color="auto"/>
            </w:tcBorders>
            <w:shd w:val="clear" w:color="auto" w:fill="DEEAF6" w:themeFill="accent5" w:themeFillTint="33"/>
            <w:noWrap/>
            <w:vAlign w:val="bottom"/>
            <w:hideMark/>
          </w:tcPr>
          <w:p w14:paraId="73B416CB" w14:textId="3C34BE5F" w:rsidR="003D42BD" w:rsidRPr="00EF580E" w:rsidRDefault="003D42BD" w:rsidP="003D42BD">
            <w:pPr>
              <w:spacing w:after="0"/>
              <w:jc w:val="right"/>
              <w:rPr>
                <w:rFonts w:ascii="Calibri" w:eastAsia="Times New Roman" w:hAnsi="Calibri" w:cs="Calibri"/>
                <w:color w:val="000000"/>
                <w:kern w:val="0"/>
                <w:lang w:eastAsia="sl-SI"/>
                <w14:ligatures w14:val="none"/>
              </w:rPr>
            </w:pPr>
            <w:r>
              <w:rPr>
                <w:rFonts w:ascii="Calibri" w:hAnsi="Calibri" w:cs="Calibri"/>
                <w:color w:val="000000"/>
              </w:rPr>
              <w:t>5,60%</w:t>
            </w:r>
          </w:p>
        </w:tc>
        <w:tc>
          <w:tcPr>
            <w:tcW w:w="2693" w:type="dxa"/>
            <w:tcBorders>
              <w:top w:val="single" w:sz="2" w:space="0" w:color="auto"/>
              <w:bottom w:val="single" w:sz="2" w:space="0" w:color="auto"/>
            </w:tcBorders>
            <w:shd w:val="clear" w:color="auto" w:fill="DEEAF6" w:themeFill="accent5" w:themeFillTint="33"/>
            <w:noWrap/>
            <w:vAlign w:val="bottom"/>
            <w:hideMark/>
          </w:tcPr>
          <w:p w14:paraId="5EDB6AC5" w14:textId="70AAFCF3" w:rsidR="003D42BD" w:rsidRPr="00EF580E" w:rsidRDefault="003D42BD" w:rsidP="003D42BD">
            <w:pPr>
              <w:spacing w:after="0"/>
              <w:jc w:val="right"/>
              <w:rPr>
                <w:rFonts w:ascii="Calibri" w:eastAsia="Times New Roman" w:hAnsi="Calibri" w:cs="Calibri"/>
                <w:color w:val="000000"/>
                <w:kern w:val="0"/>
                <w:lang w:eastAsia="sl-SI"/>
                <w14:ligatures w14:val="none"/>
              </w:rPr>
            </w:pPr>
            <w:r>
              <w:rPr>
                <w:rFonts w:ascii="Calibri" w:hAnsi="Calibri" w:cs="Calibri"/>
                <w:color w:val="000000"/>
              </w:rPr>
              <w:t>7.404,05</w:t>
            </w:r>
          </w:p>
        </w:tc>
      </w:tr>
      <w:tr w:rsidR="003D42BD" w:rsidRPr="00EF580E" w14:paraId="3F45987D" w14:textId="77777777" w:rsidTr="00C15C02">
        <w:trPr>
          <w:trHeight w:val="290"/>
        </w:trPr>
        <w:tc>
          <w:tcPr>
            <w:tcW w:w="3119" w:type="dxa"/>
            <w:tcBorders>
              <w:top w:val="single" w:sz="2" w:space="0" w:color="auto"/>
              <w:bottom w:val="single" w:sz="2" w:space="0" w:color="auto"/>
            </w:tcBorders>
            <w:shd w:val="clear" w:color="auto" w:fill="9CC2E5" w:themeFill="accent5" w:themeFillTint="99"/>
            <w:noWrap/>
            <w:vAlign w:val="bottom"/>
            <w:hideMark/>
          </w:tcPr>
          <w:p w14:paraId="55AC7034" w14:textId="77777777" w:rsidR="003D42BD" w:rsidRPr="00EF580E" w:rsidRDefault="003D42BD" w:rsidP="003D42BD">
            <w:pPr>
              <w:spacing w:after="0"/>
              <w:rPr>
                <w:rFonts w:ascii="Calibri" w:eastAsia="Times New Roman" w:hAnsi="Calibri" w:cs="Calibri"/>
                <w:color w:val="000000"/>
                <w:kern w:val="0"/>
                <w:lang w:eastAsia="sl-SI"/>
                <w14:ligatures w14:val="none"/>
              </w:rPr>
            </w:pPr>
            <w:r w:rsidRPr="00EF580E">
              <w:rPr>
                <w:rFonts w:ascii="Calibri" w:eastAsia="Times New Roman" w:hAnsi="Calibri" w:cs="Calibri"/>
                <w:color w:val="000000"/>
                <w:kern w:val="0"/>
                <w:lang w:eastAsia="sl-SI"/>
                <w14:ligatures w14:val="none"/>
              </w:rPr>
              <w:t>12. Občina Šentrupert</w:t>
            </w:r>
          </w:p>
        </w:tc>
        <w:tc>
          <w:tcPr>
            <w:tcW w:w="1709" w:type="dxa"/>
            <w:tcBorders>
              <w:top w:val="single" w:sz="2" w:space="0" w:color="auto"/>
              <w:bottom w:val="single" w:sz="2" w:space="0" w:color="auto"/>
            </w:tcBorders>
            <w:shd w:val="clear" w:color="auto" w:fill="9CC2E5" w:themeFill="accent5" w:themeFillTint="99"/>
            <w:noWrap/>
            <w:vAlign w:val="bottom"/>
            <w:hideMark/>
          </w:tcPr>
          <w:p w14:paraId="53596B5B" w14:textId="08E3D562" w:rsidR="003D42BD" w:rsidRPr="00EF580E" w:rsidRDefault="003D42BD" w:rsidP="003D42BD">
            <w:pPr>
              <w:spacing w:after="0"/>
              <w:jc w:val="right"/>
              <w:rPr>
                <w:rFonts w:ascii="Calibri" w:eastAsia="Times New Roman" w:hAnsi="Calibri" w:cs="Calibri"/>
                <w:color w:val="000000"/>
                <w:kern w:val="0"/>
                <w:lang w:eastAsia="sl-SI"/>
                <w14:ligatures w14:val="none"/>
              </w:rPr>
            </w:pPr>
            <w:r>
              <w:rPr>
                <w:rFonts w:ascii="Calibri" w:hAnsi="Calibri" w:cs="Calibri"/>
                <w:color w:val="000000"/>
              </w:rPr>
              <w:t>2.964</w:t>
            </w:r>
          </w:p>
        </w:tc>
        <w:tc>
          <w:tcPr>
            <w:tcW w:w="1559" w:type="dxa"/>
            <w:tcBorders>
              <w:top w:val="single" w:sz="2" w:space="0" w:color="auto"/>
              <w:bottom w:val="single" w:sz="2" w:space="0" w:color="auto"/>
            </w:tcBorders>
            <w:shd w:val="clear" w:color="auto" w:fill="9CC2E5" w:themeFill="accent5" w:themeFillTint="99"/>
            <w:noWrap/>
            <w:vAlign w:val="bottom"/>
            <w:hideMark/>
          </w:tcPr>
          <w:p w14:paraId="2878748D" w14:textId="1CD57C17" w:rsidR="003D42BD" w:rsidRPr="00EF580E" w:rsidRDefault="003D42BD" w:rsidP="003D42BD">
            <w:pPr>
              <w:spacing w:after="0"/>
              <w:jc w:val="right"/>
              <w:rPr>
                <w:rFonts w:ascii="Calibri" w:eastAsia="Times New Roman" w:hAnsi="Calibri" w:cs="Calibri"/>
                <w:color w:val="000000"/>
                <w:kern w:val="0"/>
                <w:lang w:eastAsia="sl-SI"/>
                <w14:ligatures w14:val="none"/>
              </w:rPr>
            </w:pPr>
            <w:r>
              <w:rPr>
                <w:rFonts w:ascii="Calibri" w:hAnsi="Calibri" w:cs="Calibri"/>
                <w:color w:val="000000"/>
              </w:rPr>
              <w:t>2,24%</w:t>
            </w:r>
          </w:p>
        </w:tc>
        <w:tc>
          <w:tcPr>
            <w:tcW w:w="2693" w:type="dxa"/>
            <w:tcBorders>
              <w:top w:val="single" w:sz="2" w:space="0" w:color="auto"/>
              <w:bottom w:val="single" w:sz="2" w:space="0" w:color="auto"/>
            </w:tcBorders>
            <w:shd w:val="clear" w:color="auto" w:fill="9CC2E5" w:themeFill="accent5" w:themeFillTint="99"/>
            <w:noWrap/>
            <w:vAlign w:val="bottom"/>
            <w:hideMark/>
          </w:tcPr>
          <w:p w14:paraId="301C0DAE" w14:textId="1AF19BB3" w:rsidR="003D42BD" w:rsidRPr="00EF580E" w:rsidRDefault="003D42BD" w:rsidP="003D42BD">
            <w:pPr>
              <w:spacing w:after="0"/>
              <w:jc w:val="right"/>
              <w:rPr>
                <w:rFonts w:ascii="Calibri" w:eastAsia="Times New Roman" w:hAnsi="Calibri" w:cs="Calibri"/>
                <w:color w:val="000000"/>
                <w:kern w:val="0"/>
                <w:lang w:eastAsia="sl-SI"/>
                <w14:ligatures w14:val="none"/>
              </w:rPr>
            </w:pPr>
            <w:r>
              <w:rPr>
                <w:rFonts w:ascii="Calibri" w:hAnsi="Calibri" w:cs="Calibri"/>
                <w:color w:val="000000"/>
              </w:rPr>
              <w:t>2.957,23</w:t>
            </w:r>
          </w:p>
        </w:tc>
      </w:tr>
      <w:tr w:rsidR="003D42BD" w:rsidRPr="00EF580E" w14:paraId="1050ECFA" w14:textId="77777777" w:rsidTr="00C15C02">
        <w:trPr>
          <w:trHeight w:val="290"/>
        </w:trPr>
        <w:tc>
          <w:tcPr>
            <w:tcW w:w="3119" w:type="dxa"/>
            <w:tcBorders>
              <w:top w:val="single" w:sz="2" w:space="0" w:color="auto"/>
              <w:bottom w:val="single" w:sz="2" w:space="0" w:color="auto"/>
            </w:tcBorders>
            <w:shd w:val="clear" w:color="auto" w:fill="DEEAF6" w:themeFill="accent5" w:themeFillTint="33"/>
            <w:noWrap/>
            <w:vAlign w:val="bottom"/>
            <w:hideMark/>
          </w:tcPr>
          <w:p w14:paraId="6BF7C9CD" w14:textId="77777777" w:rsidR="003D42BD" w:rsidRPr="00EF580E" w:rsidRDefault="003D42BD" w:rsidP="003D42BD">
            <w:pPr>
              <w:spacing w:after="0"/>
              <w:rPr>
                <w:rFonts w:ascii="Calibri" w:eastAsia="Times New Roman" w:hAnsi="Calibri" w:cs="Calibri"/>
                <w:color w:val="000000"/>
                <w:kern w:val="0"/>
                <w:lang w:eastAsia="sl-SI"/>
                <w14:ligatures w14:val="none"/>
              </w:rPr>
            </w:pPr>
            <w:r w:rsidRPr="00EF580E">
              <w:rPr>
                <w:rFonts w:ascii="Calibri" w:eastAsia="Times New Roman" w:hAnsi="Calibri" w:cs="Calibri"/>
                <w:color w:val="000000"/>
                <w:kern w:val="0"/>
                <w:lang w:eastAsia="sl-SI"/>
                <w14:ligatures w14:val="none"/>
              </w:rPr>
              <w:t>13. Občina Škocjan</w:t>
            </w:r>
          </w:p>
        </w:tc>
        <w:tc>
          <w:tcPr>
            <w:tcW w:w="1709" w:type="dxa"/>
            <w:tcBorders>
              <w:top w:val="single" w:sz="2" w:space="0" w:color="auto"/>
              <w:bottom w:val="single" w:sz="2" w:space="0" w:color="auto"/>
            </w:tcBorders>
            <w:shd w:val="clear" w:color="auto" w:fill="DEEAF6" w:themeFill="accent5" w:themeFillTint="33"/>
            <w:noWrap/>
            <w:vAlign w:val="bottom"/>
            <w:hideMark/>
          </w:tcPr>
          <w:p w14:paraId="1C05A7E0" w14:textId="02E06345" w:rsidR="003D42BD" w:rsidRPr="00EF580E" w:rsidRDefault="003D42BD" w:rsidP="003D42BD">
            <w:pPr>
              <w:spacing w:after="0"/>
              <w:jc w:val="right"/>
              <w:rPr>
                <w:rFonts w:ascii="Calibri" w:eastAsia="Times New Roman" w:hAnsi="Calibri" w:cs="Calibri"/>
                <w:color w:val="000000"/>
                <w:kern w:val="0"/>
                <w:lang w:eastAsia="sl-SI"/>
                <w14:ligatures w14:val="none"/>
              </w:rPr>
            </w:pPr>
            <w:r>
              <w:rPr>
                <w:rFonts w:ascii="Calibri" w:hAnsi="Calibri" w:cs="Calibri"/>
                <w:color w:val="000000"/>
              </w:rPr>
              <w:t>3.470</w:t>
            </w:r>
          </w:p>
        </w:tc>
        <w:tc>
          <w:tcPr>
            <w:tcW w:w="1559" w:type="dxa"/>
            <w:tcBorders>
              <w:top w:val="single" w:sz="2" w:space="0" w:color="auto"/>
              <w:bottom w:val="single" w:sz="2" w:space="0" w:color="auto"/>
            </w:tcBorders>
            <w:shd w:val="clear" w:color="auto" w:fill="DEEAF6" w:themeFill="accent5" w:themeFillTint="33"/>
            <w:noWrap/>
            <w:vAlign w:val="bottom"/>
            <w:hideMark/>
          </w:tcPr>
          <w:p w14:paraId="2005ED28" w14:textId="28CD85D1" w:rsidR="003D42BD" w:rsidRPr="00EF580E" w:rsidRDefault="003D42BD" w:rsidP="003D42BD">
            <w:pPr>
              <w:spacing w:after="0"/>
              <w:jc w:val="right"/>
              <w:rPr>
                <w:rFonts w:ascii="Calibri" w:eastAsia="Times New Roman" w:hAnsi="Calibri" w:cs="Calibri"/>
                <w:color w:val="000000"/>
                <w:kern w:val="0"/>
                <w:lang w:eastAsia="sl-SI"/>
                <w14:ligatures w14:val="none"/>
              </w:rPr>
            </w:pPr>
            <w:r>
              <w:rPr>
                <w:rFonts w:ascii="Calibri" w:hAnsi="Calibri" w:cs="Calibri"/>
                <w:color w:val="000000"/>
              </w:rPr>
              <w:t>2,62%</w:t>
            </w:r>
          </w:p>
        </w:tc>
        <w:tc>
          <w:tcPr>
            <w:tcW w:w="2693" w:type="dxa"/>
            <w:tcBorders>
              <w:top w:val="single" w:sz="2" w:space="0" w:color="auto"/>
              <w:bottom w:val="single" w:sz="2" w:space="0" w:color="auto"/>
            </w:tcBorders>
            <w:shd w:val="clear" w:color="auto" w:fill="DEEAF6" w:themeFill="accent5" w:themeFillTint="33"/>
            <w:noWrap/>
            <w:vAlign w:val="bottom"/>
            <w:hideMark/>
          </w:tcPr>
          <w:p w14:paraId="1E67D486" w14:textId="039171A5" w:rsidR="003D42BD" w:rsidRPr="00EF580E" w:rsidRDefault="003D42BD" w:rsidP="003D42BD">
            <w:pPr>
              <w:spacing w:after="0"/>
              <w:jc w:val="right"/>
              <w:rPr>
                <w:rFonts w:ascii="Calibri" w:eastAsia="Times New Roman" w:hAnsi="Calibri" w:cs="Calibri"/>
                <w:color w:val="000000"/>
                <w:kern w:val="0"/>
                <w:lang w:eastAsia="sl-SI"/>
                <w14:ligatures w14:val="none"/>
              </w:rPr>
            </w:pPr>
            <w:r>
              <w:rPr>
                <w:rFonts w:ascii="Calibri" w:hAnsi="Calibri" w:cs="Calibri"/>
                <w:color w:val="000000"/>
              </w:rPr>
              <w:t>3.462,08</w:t>
            </w:r>
          </w:p>
        </w:tc>
      </w:tr>
      <w:tr w:rsidR="003D42BD" w:rsidRPr="00EF580E" w14:paraId="183CCF0F" w14:textId="77777777" w:rsidTr="00C15C02">
        <w:trPr>
          <w:trHeight w:val="290"/>
        </w:trPr>
        <w:tc>
          <w:tcPr>
            <w:tcW w:w="3119" w:type="dxa"/>
            <w:tcBorders>
              <w:top w:val="single" w:sz="2" w:space="0" w:color="auto"/>
              <w:bottom w:val="single" w:sz="2" w:space="0" w:color="auto"/>
            </w:tcBorders>
            <w:shd w:val="clear" w:color="auto" w:fill="9CC2E5" w:themeFill="accent5" w:themeFillTint="99"/>
            <w:noWrap/>
            <w:vAlign w:val="bottom"/>
            <w:hideMark/>
          </w:tcPr>
          <w:p w14:paraId="0B9FF390" w14:textId="77777777" w:rsidR="003D42BD" w:rsidRPr="00EF580E" w:rsidRDefault="003D42BD" w:rsidP="003D42BD">
            <w:pPr>
              <w:spacing w:after="0"/>
              <w:rPr>
                <w:rFonts w:ascii="Calibri" w:eastAsia="Times New Roman" w:hAnsi="Calibri" w:cs="Calibri"/>
                <w:color w:val="000000"/>
                <w:kern w:val="0"/>
                <w:lang w:eastAsia="sl-SI"/>
                <w14:ligatures w14:val="none"/>
              </w:rPr>
            </w:pPr>
            <w:r w:rsidRPr="00EF580E">
              <w:rPr>
                <w:rFonts w:ascii="Calibri" w:eastAsia="Times New Roman" w:hAnsi="Calibri" w:cs="Calibri"/>
                <w:color w:val="000000"/>
                <w:kern w:val="0"/>
                <w:lang w:eastAsia="sl-SI"/>
                <w14:ligatures w14:val="none"/>
              </w:rPr>
              <w:t>14. Občina Šmarješke Toplice</w:t>
            </w:r>
          </w:p>
        </w:tc>
        <w:tc>
          <w:tcPr>
            <w:tcW w:w="1709" w:type="dxa"/>
            <w:tcBorders>
              <w:top w:val="single" w:sz="2" w:space="0" w:color="auto"/>
              <w:bottom w:val="single" w:sz="2" w:space="0" w:color="auto"/>
            </w:tcBorders>
            <w:shd w:val="clear" w:color="auto" w:fill="9CC2E5" w:themeFill="accent5" w:themeFillTint="99"/>
            <w:noWrap/>
            <w:vAlign w:val="bottom"/>
            <w:hideMark/>
          </w:tcPr>
          <w:p w14:paraId="124F8C65" w14:textId="0179B872" w:rsidR="003D42BD" w:rsidRPr="00EF580E" w:rsidRDefault="003D42BD" w:rsidP="003D42BD">
            <w:pPr>
              <w:spacing w:after="0"/>
              <w:jc w:val="right"/>
              <w:rPr>
                <w:rFonts w:ascii="Calibri" w:eastAsia="Times New Roman" w:hAnsi="Calibri" w:cs="Calibri"/>
                <w:color w:val="000000"/>
                <w:kern w:val="0"/>
                <w:lang w:eastAsia="sl-SI"/>
                <w14:ligatures w14:val="none"/>
              </w:rPr>
            </w:pPr>
            <w:r>
              <w:rPr>
                <w:rFonts w:ascii="Calibri" w:hAnsi="Calibri" w:cs="Calibri"/>
                <w:color w:val="000000"/>
              </w:rPr>
              <w:t>3.573</w:t>
            </w:r>
          </w:p>
        </w:tc>
        <w:tc>
          <w:tcPr>
            <w:tcW w:w="1559" w:type="dxa"/>
            <w:tcBorders>
              <w:top w:val="single" w:sz="2" w:space="0" w:color="auto"/>
              <w:bottom w:val="single" w:sz="2" w:space="0" w:color="auto"/>
            </w:tcBorders>
            <w:shd w:val="clear" w:color="auto" w:fill="9CC2E5" w:themeFill="accent5" w:themeFillTint="99"/>
            <w:noWrap/>
            <w:vAlign w:val="bottom"/>
            <w:hideMark/>
          </w:tcPr>
          <w:p w14:paraId="10C9B132" w14:textId="2D6224C8" w:rsidR="003D42BD" w:rsidRPr="00EF580E" w:rsidRDefault="003D42BD" w:rsidP="003D42BD">
            <w:pPr>
              <w:spacing w:after="0"/>
              <w:jc w:val="right"/>
              <w:rPr>
                <w:rFonts w:ascii="Calibri" w:eastAsia="Times New Roman" w:hAnsi="Calibri" w:cs="Calibri"/>
                <w:color w:val="000000"/>
                <w:kern w:val="0"/>
                <w:lang w:eastAsia="sl-SI"/>
                <w14:ligatures w14:val="none"/>
              </w:rPr>
            </w:pPr>
            <w:r>
              <w:rPr>
                <w:rFonts w:ascii="Calibri" w:hAnsi="Calibri" w:cs="Calibri"/>
                <w:color w:val="000000"/>
              </w:rPr>
              <w:t>2,69%</w:t>
            </w:r>
          </w:p>
        </w:tc>
        <w:tc>
          <w:tcPr>
            <w:tcW w:w="2693" w:type="dxa"/>
            <w:tcBorders>
              <w:top w:val="single" w:sz="2" w:space="0" w:color="auto"/>
              <w:bottom w:val="single" w:sz="2" w:space="0" w:color="auto"/>
            </w:tcBorders>
            <w:shd w:val="clear" w:color="auto" w:fill="9CC2E5" w:themeFill="accent5" w:themeFillTint="99"/>
            <w:noWrap/>
            <w:vAlign w:val="bottom"/>
            <w:hideMark/>
          </w:tcPr>
          <w:p w14:paraId="249F8EFA" w14:textId="42AB3F4A" w:rsidR="003D42BD" w:rsidRPr="00EF580E" w:rsidRDefault="003D42BD" w:rsidP="003D42BD">
            <w:pPr>
              <w:spacing w:after="0"/>
              <w:jc w:val="right"/>
              <w:rPr>
                <w:rFonts w:ascii="Calibri" w:eastAsia="Times New Roman" w:hAnsi="Calibri" w:cs="Calibri"/>
                <w:color w:val="000000"/>
                <w:kern w:val="0"/>
                <w:lang w:eastAsia="sl-SI"/>
                <w14:ligatures w14:val="none"/>
              </w:rPr>
            </w:pPr>
            <w:r>
              <w:rPr>
                <w:rFonts w:ascii="Calibri" w:hAnsi="Calibri" w:cs="Calibri"/>
                <w:color w:val="000000"/>
              </w:rPr>
              <w:t>3.564,84</w:t>
            </w:r>
          </w:p>
        </w:tc>
      </w:tr>
      <w:tr w:rsidR="003D42BD" w:rsidRPr="00EF580E" w14:paraId="7DB81BB6" w14:textId="77777777" w:rsidTr="003D42BD">
        <w:trPr>
          <w:trHeight w:val="290"/>
        </w:trPr>
        <w:tc>
          <w:tcPr>
            <w:tcW w:w="3119" w:type="dxa"/>
            <w:tcBorders>
              <w:top w:val="single" w:sz="2" w:space="0" w:color="auto"/>
              <w:bottom w:val="single" w:sz="2" w:space="0" w:color="auto"/>
            </w:tcBorders>
            <w:shd w:val="clear" w:color="auto" w:fill="DEEAF6" w:themeFill="accent5" w:themeFillTint="33"/>
            <w:noWrap/>
            <w:vAlign w:val="bottom"/>
            <w:hideMark/>
          </w:tcPr>
          <w:p w14:paraId="6FE03BCD" w14:textId="77777777" w:rsidR="003D42BD" w:rsidRPr="00EF580E" w:rsidRDefault="003D42BD" w:rsidP="003D42BD">
            <w:pPr>
              <w:spacing w:after="0"/>
              <w:rPr>
                <w:rFonts w:ascii="Calibri" w:eastAsia="Times New Roman" w:hAnsi="Calibri" w:cs="Calibri"/>
                <w:color w:val="000000"/>
                <w:kern w:val="0"/>
                <w:lang w:eastAsia="sl-SI"/>
                <w14:ligatures w14:val="none"/>
              </w:rPr>
            </w:pPr>
            <w:r w:rsidRPr="00EF580E">
              <w:rPr>
                <w:rFonts w:ascii="Calibri" w:eastAsia="Times New Roman" w:hAnsi="Calibri" w:cs="Calibri"/>
                <w:color w:val="000000"/>
                <w:kern w:val="0"/>
                <w:lang w:eastAsia="sl-SI"/>
                <w14:ligatures w14:val="none"/>
              </w:rPr>
              <w:t>15. Občina Trebnje</w:t>
            </w:r>
          </w:p>
        </w:tc>
        <w:tc>
          <w:tcPr>
            <w:tcW w:w="1709" w:type="dxa"/>
            <w:tcBorders>
              <w:top w:val="single" w:sz="2" w:space="0" w:color="auto"/>
              <w:bottom w:val="single" w:sz="2" w:space="0" w:color="auto"/>
            </w:tcBorders>
            <w:shd w:val="clear" w:color="auto" w:fill="DEEAF6" w:themeFill="accent5" w:themeFillTint="33"/>
            <w:noWrap/>
            <w:vAlign w:val="bottom"/>
            <w:hideMark/>
          </w:tcPr>
          <w:p w14:paraId="08632103" w14:textId="47DC8D18" w:rsidR="003D42BD" w:rsidRPr="00EF580E" w:rsidRDefault="003D42BD" w:rsidP="003D42BD">
            <w:pPr>
              <w:spacing w:after="0"/>
              <w:jc w:val="right"/>
              <w:rPr>
                <w:rFonts w:ascii="Calibri" w:eastAsia="Times New Roman" w:hAnsi="Calibri" w:cs="Calibri"/>
                <w:color w:val="000000"/>
                <w:kern w:val="0"/>
                <w:lang w:eastAsia="sl-SI"/>
                <w14:ligatures w14:val="none"/>
              </w:rPr>
            </w:pPr>
            <w:r>
              <w:rPr>
                <w:rFonts w:ascii="Calibri" w:hAnsi="Calibri" w:cs="Calibri"/>
                <w:color w:val="000000"/>
              </w:rPr>
              <w:t>13.514</w:t>
            </w:r>
          </w:p>
        </w:tc>
        <w:tc>
          <w:tcPr>
            <w:tcW w:w="1559" w:type="dxa"/>
            <w:tcBorders>
              <w:top w:val="single" w:sz="2" w:space="0" w:color="auto"/>
              <w:bottom w:val="single" w:sz="2" w:space="0" w:color="auto"/>
            </w:tcBorders>
            <w:shd w:val="clear" w:color="auto" w:fill="DEEAF6" w:themeFill="accent5" w:themeFillTint="33"/>
            <w:noWrap/>
            <w:vAlign w:val="bottom"/>
            <w:hideMark/>
          </w:tcPr>
          <w:p w14:paraId="5DF6152E" w14:textId="545F7DB7" w:rsidR="003D42BD" w:rsidRPr="00EF580E" w:rsidRDefault="003D42BD" w:rsidP="003D42BD">
            <w:pPr>
              <w:spacing w:after="0"/>
              <w:jc w:val="right"/>
              <w:rPr>
                <w:rFonts w:ascii="Calibri" w:eastAsia="Times New Roman" w:hAnsi="Calibri" w:cs="Calibri"/>
                <w:color w:val="000000"/>
                <w:kern w:val="0"/>
                <w:lang w:eastAsia="sl-SI"/>
                <w14:ligatures w14:val="none"/>
              </w:rPr>
            </w:pPr>
            <w:r>
              <w:rPr>
                <w:rFonts w:ascii="Calibri" w:hAnsi="Calibri" w:cs="Calibri"/>
                <w:color w:val="000000"/>
              </w:rPr>
              <w:t>10,19%</w:t>
            </w:r>
          </w:p>
        </w:tc>
        <w:tc>
          <w:tcPr>
            <w:tcW w:w="2693" w:type="dxa"/>
            <w:tcBorders>
              <w:top w:val="single" w:sz="2" w:space="0" w:color="auto"/>
              <w:bottom w:val="single" w:sz="2" w:space="0" w:color="auto"/>
            </w:tcBorders>
            <w:shd w:val="clear" w:color="auto" w:fill="DEEAF6" w:themeFill="accent5" w:themeFillTint="33"/>
            <w:noWrap/>
            <w:vAlign w:val="bottom"/>
            <w:hideMark/>
          </w:tcPr>
          <w:p w14:paraId="44975C2E" w14:textId="75BF5EAE" w:rsidR="003D42BD" w:rsidRPr="00EF580E" w:rsidRDefault="003D42BD" w:rsidP="003D42BD">
            <w:pPr>
              <w:spacing w:after="0"/>
              <w:jc w:val="right"/>
              <w:rPr>
                <w:rFonts w:ascii="Calibri" w:eastAsia="Times New Roman" w:hAnsi="Calibri" w:cs="Calibri"/>
                <w:color w:val="000000"/>
                <w:kern w:val="0"/>
                <w:lang w:eastAsia="sl-SI"/>
                <w14:ligatures w14:val="none"/>
              </w:rPr>
            </w:pPr>
            <w:r>
              <w:rPr>
                <w:rFonts w:ascii="Calibri" w:hAnsi="Calibri" w:cs="Calibri"/>
                <w:color w:val="000000"/>
              </w:rPr>
              <w:t>13.483,14</w:t>
            </w:r>
          </w:p>
        </w:tc>
      </w:tr>
      <w:tr w:rsidR="003D42BD" w:rsidRPr="00EF580E" w14:paraId="39D92611" w14:textId="77777777" w:rsidTr="00C15C02">
        <w:trPr>
          <w:trHeight w:val="290"/>
        </w:trPr>
        <w:tc>
          <w:tcPr>
            <w:tcW w:w="3119" w:type="dxa"/>
            <w:tcBorders>
              <w:top w:val="single" w:sz="2" w:space="0" w:color="auto"/>
            </w:tcBorders>
            <w:shd w:val="clear" w:color="auto" w:fill="9CC2E5" w:themeFill="accent5" w:themeFillTint="99"/>
            <w:noWrap/>
            <w:vAlign w:val="bottom"/>
            <w:hideMark/>
          </w:tcPr>
          <w:p w14:paraId="1B0C0E81" w14:textId="77777777" w:rsidR="003D42BD" w:rsidRPr="00EF580E" w:rsidRDefault="003D42BD" w:rsidP="003D42BD">
            <w:pPr>
              <w:spacing w:after="0"/>
              <w:rPr>
                <w:rFonts w:ascii="Calibri" w:eastAsia="Times New Roman" w:hAnsi="Calibri" w:cs="Calibri"/>
                <w:color w:val="000000"/>
                <w:kern w:val="0"/>
                <w:lang w:eastAsia="sl-SI"/>
                <w14:ligatures w14:val="none"/>
              </w:rPr>
            </w:pPr>
            <w:r w:rsidRPr="00EF580E">
              <w:rPr>
                <w:rFonts w:ascii="Calibri" w:eastAsia="Times New Roman" w:hAnsi="Calibri" w:cs="Calibri"/>
                <w:color w:val="000000"/>
                <w:kern w:val="0"/>
                <w:lang w:eastAsia="sl-SI"/>
                <w14:ligatures w14:val="none"/>
              </w:rPr>
              <w:t>16. Občina Žužemberk</w:t>
            </w:r>
          </w:p>
        </w:tc>
        <w:tc>
          <w:tcPr>
            <w:tcW w:w="1709" w:type="dxa"/>
            <w:tcBorders>
              <w:top w:val="single" w:sz="2" w:space="0" w:color="auto"/>
            </w:tcBorders>
            <w:shd w:val="clear" w:color="auto" w:fill="9CC2E5" w:themeFill="accent5" w:themeFillTint="99"/>
            <w:noWrap/>
            <w:vAlign w:val="bottom"/>
            <w:hideMark/>
          </w:tcPr>
          <w:p w14:paraId="3895283B" w14:textId="221AF104" w:rsidR="003D42BD" w:rsidRPr="00EF580E" w:rsidRDefault="003D42BD" w:rsidP="003D42BD">
            <w:pPr>
              <w:spacing w:after="0"/>
              <w:jc w:val="right"/>
              <w:rPr>
                <w:rFonts w:ascii="Calibri" w:eastAsia="Times New Roman" w:hAnsi="Calibri" w:cs="Calibri"/>
                <w:color w:val="000000"/>
                <w:kern w:val="0"/>
                <w:lang w:eastAsia="sl-SI"/>
                <w14:ligatures w14:val="none"/>
              </w:rPr>
            </w:pPr>
            <w:r>
              <w:rPr>
                <w:rFonts w:ascii="Calibri" w:hAnsi="Calibri" w:cs="Calibri"/>
                <w:color w:val="000000"/>
              </w:rPr>
              <w:t>4.681</w:t>
            </w:r>
          </w:p>
        </w:tc>
        <w:tc>
          <w:tcPr>
            <w:tcW w:w="1559" w:type="dxa"/>
            <w:tcBorders>
              <w:top w:val="single" w:sz="2" w:space="0" w:color="auto"/>
            </w:tcBorders>
            <w:shd w:val="clear" w:color="auto" w:fill="9CC2E5" w:themeFill="accent5" w:themeFillTint="99"/>
            <w:noWrap/>
            <w:vAlign w:val="bottom"/>
            <w:hideMark/>
          </w:tcPr>
          <w:p w14:paraId="4D353035" w14:textId="65EAC865" w:rsidR="003D42BD" w:rsidRPr="00EF580E" w:rsidRDefault="003D42BD" w:rsidP="003D42BD">
            <w:pPr>
              <w:spacing w:after="0"/>
              <w:jc w:val="right"/>
              <w:rPr>
                <w:rFonts w:ascii="Calibri" w:eastAsia="Times New Roman" w:hAnsi="Calibri" w:cs="Calibri"/>
                <w:color w:val="000000"/>
                <w:kern w:val="0"/>
                <w:lang w:eastAsia="sl-SI"/>
                <w14:ligatures w14:val="none"/>
              </w:rPr>
            </w:pPr>
            <w:r>
              <w:rPr>
                <w:rFonts w:ascii="Calibri" w:hAnsi="Calibri" w:cs="Calibri"/>
                <w:color w:val="000000"/>
              </w:rPr>
              <w:t>3,53%</w:t>
            </w:r>
          </w:p>
        </w:tc>
        <w:tc>
          <w:tcPr>
            <w:tcW w:w="2693" w:type="dxa"/>
            <w:tcBorders>
              <w:top w:val="single" w:sz="2" w:space="0" w:color="auto"/>
            </w:tcBorders>
            <w:shd w:val="clear" w:color="auto" w:fill="9CC2E5" w:themeFill="accent5" w:themeFillTint="99"/>
            <w:noWrap/>
            <w:vAlign w:val="bottom"/>
            <w:hideMark/>
          </w:tcPr>
          <w:p w14:paraId="0C8733C1" w14:textId="2F92FCFE" w:rsidR="003D42BD" w:rsidRPr="00EF580E" w:rsidRDefault="003D42BD" w:rsidP="003D42BD">
            <w:pPr>
              <w:spacing w:after="0"/>
              <w:jc w:val="right"/>
              <w:rPr>
                <w:rFonts w:ascii="Calibri" w:eastAsia="Times New Roman" w:hAnsi="Calibri" w:cs="Calibri"/>
                <w:color w:val="000000"/>
                <w:kern w:val="0"/>
                <w:lang w:eastAsia="sl-SI"/>
                <w14:ligatures w14:val="none"/>
              </w:rPr>
            </w:pPr>
            <w:r>
              <w:rPr>
                <w:rFonts w:ascii="Calibri" w:hAnsi="Calibri" w:cs="Calibri"/>
                <w:color w:val="000000"/>
              </w:rPr>
              <w:t>4.670,31</w:t>
            </w:r>
          </w:p>
        </w:tc>
      </w:tr>
      <w:tr w:rsidR="003D42BD" w:rsidRPr="00EF580E" w14:paraId="7A91BE73" w14:textId="77777777" w:rsidTr="00C15C02">
        <w:trPr>
          <w:trHeight w:val="290"/>
        </w:trPr>
        <w:tc>
          <w:tcPr>
            <w:tcW w:w="3119" w:type="dxa"/>
            <w:shd w:val="clear" w:color="auto" w:fill="E2EFD9" w:themeFill="accent6" w:themeFillTint="33"/>
            <w:noWrap/>
            <w:vAlign w:val="bottom"/>
            <w:hideMark/>
          </w:tcPr>
          <w:p w14:paraId="5A96216E" w14:textId="77777777" w:rsidR="003D42BD" w:rsidRPr="00EF580E" w:rsidRDefault="003D42BD" w:rsidP="003D42BD">
            <w:pPr>
              <w:spacing w:after="0"/>
              <w:rPr>
                <w:rFonts w:ascii="Calibri" w:eastAsia="Times New Roman" w:hAnsi="Calibri" w:cs="Calibri"/>
                <w:b/>
                <w:bCs/>
                <w:color w:val="000000"/>
                <w:kern w:val="0"/>
                <w:lang w:eastAsia="sl-SI"/>
                <w14:ligatures w14:val="none"/>
              </w:rPr>
            </w:pPr>
            <w:r w:rsidRPr="00EF580E">
              <w:rPr>
                <w:rFonts w:ascii="Calibri" w:eastAsia="Times New Roman" w:hAnsi="Calibri" w:cs="Calibri"/>
                <w:b/>
                <w:bCs/>
                <w:color w:val="000000"/>
                <w:kern w:val="0"/>
                <w:lang w:eastAsia="sl-SI"/>
                <w14:ligatures w14:val="none"/>
              </w:rPr>
              <w:t>Skupaj</w:t>
            </w:r>
          </w:p>
        </w:tc>
        <w:tc>
          <w:tcPr>
            <w:tcW w:w="1709" w:type="dxa"/>
            <w:shd w:val="clear" w:color="auto" w:fill="E2EFD9" w:themeFill="accent6" w:themeFillTint="33"/>
            <w:noWrap/>
            <w:vAlign w:val="bottom"/>
            <w:hideMark/>
          </w:tcPr>
          <w:p w14:paraId="4C8D6F33" w14:textId="6B812212" w:rsidR="003D42BD" w:rsidRPr="00EF580E" w:rsidRDefault="003D42BD" w:rsidP="003D42BD">
            <w:pPr>
              <w:spacing w:after="0"/>
              <w:jc w:val="right"/>
              <w:rPr>
                <w:rFonts w:ascii="Calibri" w:eastAsia="Times New Roman" w:hAnsi="Calibri" w:cs="Calibri"/>
                <w:b/>
                <w:bCs/>
                <w:color w:val="000000"/>
                <w:kern w:val="0"/>
                <w:lang w:eastAsia="sl-SI"/>
                <w14:ligatures w14:val="none"/>
              </w:rPr>
            </w:pPr>
            <w:r>
              <w:rPr>
                <w:rFonts w:ascii="Calibri" w:hAnsi="Calibri" w:cs="Calibri"/>
                <w:b/>
                <w:bCs/>
                <w:color w:val="000000"/>
              </w:rPr>
              <w:t>132.598</w:t>
            </w:r>
          </w:p>
        </w:tc>
        <w:tc>
          <w:tcPr>
            <w:tcW w:w="1559" w:type="dxa"/>
            <w:shd w:val="clear" w:color="auto" w:fill="E2EFD9" w:themeFill="accent6" w:themeFillTint="33"/>
            <w:noWrap/>
            <w:vAlign w:val="bottom"/>
            <w:hideMark/>
          </w:tcPr>
          <w:p w14:paraId="68EFC321" w14:textId="5DBE89B0" w:rsidR="003D42BD" w:rsidRPr="00EF580E" w:rsidRDefault="003D42BD" w:rsidP="003D42BD">
            <w:pPr>
              <w:spacing w:after="0"/>
              <w:jc w:val="right"/>
              <w:rPr>
                <w:rFonts w:ascii="Calibri" w:eastAsia="Times New Roman" w:hAnsi="Calibri" w:cs="Calibri"/>
                <w:b/>
                <w:bCs/>
                <w:color w:val="000000"/>
                <w:kern w:val="0"/>
                <w:lang w:eastAsia="sl-SI"/>
                <w14:ligatures w14:val="none"/>
              </w:rPr>
            </w:pPr>
            <w:r>
              <w:rPr>
                <w:rFonts w:ascii="Calibri" w:hAnsi="Calibri" w:cs="Calibri"/>
                <w:b/>
                <w:bCs/>
                <w:color w:val="000000"/>
              </w:rPr>
              <w:t>100,00%</w:t>
            </w:r>
          </w:p>
        </w:tc>
        <w:tc>
          <w:tcPr>
            <w:tcW w:w="2693" w:type="dxa"/>
            <w:shd w:val="clear" w:color="auto" w:fill="E2EFD9" w:themeFill="accent6" w:themeFillTint="33"/>
            <w:noWrap/>
            <w:vAlign w:val="bottom"/>
            <w:hideMark/>
          </w:tcPr>
          <w:p w14:paraId="511DAD64" w14:textId="489EBE74" w:rsidR="003D42BD" w:rsidRPr="00EF580E" w:rsidRDefault="003D42BD" w:rsidP="003D42BD">
            <w:pPr>
              <w:spacing w:after="0"/>
              <w:jc w:val="right"/>
              <w:rPr>
                <w:rFonts w:ascii="Calibri" w:eastAsia="Times New Roman" w:hAnsi="Calibri" w:cs="Calibri"/>
                <w:b/>
                <w:bCs/>
                <w:color w:val="000000"/>
                <w:kern w:val="0"/>
                <w:lang w:eastAsia="sl-SI"/>
                <w14:ligatures w14:val="none"/>
              </w:rPr>
            </w:pPr>
            <w:r>
              <w:rPr>
                <w:rFonts w:ascii="Calibri" w:hAnsi="Calibri" w:cs="Calibri"/>
                <w:b/>
                <w:bCs/>
                <w:color w:val="000000"/>
              </w:rPr>
              <w:t>150.000,00</w:t>
            </w:r>
          </w:p>
        </w:tc>
      </w:tr>
    </w:tbl>
    <w:p w14:paraId="1B2FFF7C" w14:textId="77777777" w:rsidR="006678B6" w:rsidRDefault="006678B6">
      <w:pPr>
        <w:rPr>
          <w:rFonts w:ascii="Calibri" w:eastAsiaTheme="majorEastAsia" w:hAnsi="Calibri" w:cstheme="majorBidi"/>
          <w:b/>
          <w:sz w:val="26"/>
          <w:szCs w:val="26"/>
        </w:rPr>
      </w:pPr>
    </w:p>
    <w:p w14:paraId="2387C0B3" w14:textId="6A1DCA61" w:rsidR="006678B6" w:rsidRDefault="006678B6" w:rsidP="006678B6">
      <w:pPr>
        <w:tabs>
          <w:tab w:val="left" w:pos="932"/>
        </w:tabs>
        <w:rPr>
          <w:rFonts w:ascii="Calibri" w:eastAsiaTheme="majorEastAsia" w:hAnsi="Calibri" w:cstheme="majorBidi"/>
          <w:b/>
          <w:sz w:val="26"/>
          <w:szCs w:val="26"/>
        </w:rPr>
      </w:pPr>
    </w:p>
    <w:p w14:paraId="716F96E0" w14:textId="77777777" w:rsidR="00133124" w:rsidRDefault="00133124">
      <w:pPr>
        <w:rPr>
          <w:rFonts w:ascii="Calibri" w:eastAsiaTheme="majorEastAsia" w:hAnsi="Calibri" w:cstheme="majorBidi"/>
          <w:b/>
          <w:sz w:val="26"/>
          <w:szCs w:val="26"/>
        </w:rPr>
      </w:pPr>
      <w:r>
        <w:rPr>
          <w:sz w:val="26"/>
          <w:szCs w:val="26"/>
        </w:rPr>
        <w:br w:type="page"/>
      </w:r>
    </w:p>
    <w:p w14:paraId="37FBB1DC" w14:textId="0C44792B" w:rsidR="00133124" w:rsidRDefault="00133124" w:rsidP="00133124">
      <w:pPr>
        <w:pStyle w:val="Naslov1"/>
        <w:numPr>
          <w:ilvl w:val="0"/>
          <w:numId w:val="1"/>
        </w:numPr>
      </w:pPr>
      <w:bookmarkStart w:id="14" w:name="_Toc180049344"/>
      <w:r>
        <w:t>FINANCIRANJE, ORGANIZACIJSKI MODELI IN LASTNIŠTVO V TUJINI</w:t>
      </w:r>
      <w:bookmarkEnd w:id="14"/>
    </w:p>
    <w:p w14:paraId="15F8F229" w14:textId="27C99565" w:rsidR="00547545" w:rsidRDefault="00547545" w:rsidP="00547545"/>
    <w:p w14:paraId="52773011" w14:textId="7FDCA1C7" w:rsidR="00547545" w:rsidRDefault="00547545" w:rsidP="00547545">
      <w:pPr>
        <w:pStyle w:val="Naslov2"/>
        <w:numPr>
          <w:ilvl w:val="1"/>
          <w:numId w:val="1"/>
        </w:numPr>
      </w:pPr>
      <w:bookmarkStart w:id="15" w:name="_Toc180049345"/>
      <w:r>
        <w:t>Finančni viri in načini financiranja v tujini</w:t>
      </w:r>
      <w:bookmarkEnd w:id="15"/>
    </w:p>
    <w:p w14:paraId="163754B8" w14:textId="77777777" w:rsidR="00547545" w:rsidRDefault="00547545" w:rsidP="00547545"/>
    <w:p w14:paraId="5F643DC8" w14:textId="6BB6FE9E" w:rsidR="009C556E" w:rsidRDefault="00DC1B40" w:rsidP="009C556E">
      <w:pPr>
        <w:jc w:val="both"/>
      </w:pPr>
      <w:r w:rsidRPr="00DC1B40">
        <w:t>V alpskih državah so žičnice ključni steber gorskega turizma, prinašajo prihodke tako žičniškim podjetjem kot tudi lokalnim podjetjem in imajo nepogrešljivo vrednost za trg dela v gorskih območjih. V Avstriji, Švici, Franciji, Italiji in Nemčiji se žičnice pogosto financirajo iz različnih virov, vključno z bančnimi posojili, leasingom in javnimi sredstvi.</w:t>
      </w:r>
    </w:p>
    <w:p w14:paraId="597E6A1B" w14:textId="4F3226AA" w:rsidR="00DC1B40" w:rsidRDefault="00DC1B40" w:rsidP="009C556E">
      <w:pPr>
        <w:jc w:val="both"/>
      </w:pPr>
      <w:r w:rsidRPr="00DC1B40">
        <w:t>V Avstriji letna vlaganja v žičnice znašajo približno 500 milijonov evrov, v Švici 400 milijonov evrov, v Franciji 300 milijonov evrov, v Nemčiji pa 25 milijonov evrov. Primeri dobre prakse vključujejo sofinanciranje umetnega zasneževanja, kjer je v Avstriji namenjenih letno 88 milijonov evrov. Poleg tega imajo žičniška podjetja v alpskih državah pogosto dostop do ugodnih kreditov z nizkimi obrestnimi merami zaradi deleža državnega lastništva, kar omogoča financiranje z ugodnejšimi pogoji.</w:t>
      </w:r>
    </w:p>
    <w:p w14:paraId="5267A9B0" w14:textId="77777777" w:rsidR="00DC1B40" w:rsidRDefault="00DC1B40" w:rsidP="00DC1B40">
      <w:pPr>
        <w:jc w:val="both"/>
      </w:pPr>
      <w:r>
        <w:t xml:space="preserve">Za boljše razumevanje možnosti financiranja smučišč in žičniških naprav v Sloveniji, lahko pogledamo nekaj primerov iz tujine. </w:t>
      </w:r>
    </w:p>
    <w:p w14:paraId="74C10747" w14:textId="77777777" w:rsidR="00DC1B40" w:rsidRDefault="00DC1B40" w:rsidP="009C556E">
      <w:pPr>
        <w:jc w:val="both"/>
      </w:pPr>
    </w:p>
    <w:p w14:paraId="4A4995FF" w14:textId="0698BE9F" w:rsidR="009C556E" w:rsidRPr="009C556E" w:rsidRDefault="009C556E" w:rsidP="009C556E">
      <w:pPr>
        <w:jc w:val="both"/>
        <w:rPr>
          <w:b/>
          <w:bCs/>
        </w:rPr>
      </w:pPr>
      <w:r w:rsidRPr="009C556E">
        <w:rPr>
          <w:b/>
          <w:bCs/>
        </w:rPr>
        <w:t>Koroška, Avstrija</w:t>
      </w:r>
    </w:p>
    <w:p w14:paraId="040C476F" w14:textId="4BCBD9EF" w:rsidR="009C556E" w:rsidRDefault="009C556E" w:rsidP="009C556E">
      <w:pPr>
        <w:jc w:val="both"/>
      </w:pPr>
      <w:r>
        <w:t xml:space="preserve">Na avstrijskem Koroškem, kjer je veliko turističnih centrov, je za razvoj žičniške infrastrukture ključna deželna družba za upravljanje naložb turistične infrastrukture v lasti dežele. Ta družba, </w:t>
      </w:r>
      <w:proofErr w:type="spellStart"/>
      <w:r>
        <w:t>Land</w:t>
      </w:r>
      <w:proofErr w:type="spellEnd"/>
      <w:r>
        <w:t xml:space="preserve"> </w:t>
      </w:r>
      <w:proofErr w:type="spellStart"/>
      <w:r>
        <w:t>Kärnten</w:t>
      </w:r>
      <w:proofErr w:type="spellEnd"/>
      <w:r>
        <w:t xml:space="preserve"> </w:t>
      </w:r>
      <w:proofErr w:type="spellStart"/>
      <w:r>
        <w:t>Beteiligungen</w:t>
      </w:r>
      <w:proofErr w:type="spellEnd"/>
      <w:r>
        <w:t xml:space="preserve"> </w:t>
      </w:r>
      <w:proofErr w:type="spellStart"/>
      <w:r>
        <w:t>GmbH</w:t>
      </w:r>
      <w:proofErr w:type="spellEnd"/>
      <w:r>
        <w:t xml:space="preserve"> (LKBG), ki je v 100 % lasti Koroške investicijske družbe oz. posredno Koroške deželne vlade, upravlja z več žičniškimi podjetji in podobnimi turističnimi infrastrukturnimi projekti. Finančna sredstva za namestitvene zmogljivosti gorskih centrov pa zagotavlja tudi deželni sklad za gospodarstvo.</w:t>
      </w:r>
    </w:p>
    <w:p w14:paraId="661D2119" w14:textId="77777777" w:rsidR="009C556E" w:rsidRPr="009C556E" w:rsidRDefault="009C556E" w:rsidP="009C556E">
      <w:pPr>
        <w:jc w:val="both"/>
        <w:rPr>
          <w:b/>
          <w:bCs/>
        </w:rPr>
      </w:pPr>
    </w:p>
    <w:p w14:paraId="068BA9A2" w14:textId="3882AE9B" w:rsidR="009C556E" w:rsidRPr="009C556E" w:rsidRDefault="009C556E" w:rsidP="009C556E">
      <w:pPr>
        <w:jc w:val="both"/>
        <w:rPr>
          <w:b/>
          <w:bCs/>
        </w:rPr>
      </w:pPr>
      <w:r w:rsidRPr="009C556E">
        <w:rPr>
          <w:b/>
          <w:bCs/>
        </w:rPr>
        <w:t>Furlanija Julijska krajina, Italija</w:t>
      </w:r>
    </w:p>
    <w:p w14:paraId="36F74E65" w14:textId="20DEBAD1" w:rsidR="009C556E" w:rsidRDefault="009C556E" w:rsidP="009C556E">
      <w:pPr>
        <w:jc w:val="both"/>
      </w:pPr>
      <w:r>
        <w:t xml:space="preserve">V Furlaniji Julijski krajini so sredstva za obratovanje in razvoj žičniških centrov zagotovljena iz proračuna dežele. Deželno podjetje </w:t>
      </w:r>
      <w:proofErr w:type="spellStart"/>
      <w:r>
        <w:t>Promoturismo</w:t>
      </w:r>
      <w:proofErr w:type="spellEnd"/>
      <w:r>
        <w:t>, ki upravlja z žičniškimi napravami, je odgovorno za promocijo in trženje destinacije ter za sofinanciranje obratovanja in razvoja žičniških centrov.</w:t>
      </w:r>
    </w:p>
    <w:p w14:paraId="4887486A" w14:textId="77777777" w:rsidR="009C556E" w:rsidRDefault="009C556E" w:rsidP="009C556E">
      <w:pPr>
        <w:jc w:val="both"/>
      </w:pPr>
    </w:p>
    <w:p w14:paraId="08F1EE8A" w14:textId="174EF853" w:rsidR="009C556E" w:rsidRPr="009C556E" w:rsidRDefault="009C556E" w:rsidP="009C556E">
      <w:pPr>
        <w:jc w:val="both"/>
        <w:rPr>
          <w:b/>
          <w:bCs/>
        </w:rPr>
      </w:pPr>
      <w:r w:rsidRPr="009C556E">
        <w:rPr>
          <w:b/>
          <w:bCs/>
        </w:rPr>
        <w:t>Srbija</w:t>
      </w:r>
    </w:p>
    <w:p w14:paraId="4458EA6A" w14:textId="1BB1A3B1" w:rsidR="009C556E" w:rsidRDefault="009C556E" w:rsidP="009C556E">
      <w:pPr>
        <w:jc w:val="both"/>
      </w:pPr>
      <w:r>
        <w:t xml:space="preserve">V Srbiji je država vzpostavila centraliziran sistem razvoja smučišč preko javnega podjetja </w:t>
      </w:r>
      <w:proofErr w:type="spellStart"/>
      <w:r>
        <w:t>Skijališta</w:t>
      </w:r>
      <w:proofErr w:type="spellEnd"/>
      <w:r>
        <w:t xml:space="preserve"> Srbije. To podjetje upravlja s štirimi velikimi smučarskimi centri in je v zadnjem desetletju prejelo znatna proračunska sredstva za posodobitev in izgradnjo nove infrastrukture. </w:t>
      </w:r>
      <w:proofErr w:type="spellStart"/>
      <w:r>
        <w:t>Skijališta</w:t>
      </w:r>
      <w:proofErr w:type="spellEnd"/>
      <w:r>
        <w:t xml:space="preserve"> Srbije imajo v lasti žičniške naprave, smučarske proge in reševalno službo, medtem ko hotele in druge storitve razvija zasebni sektor.</w:t>
      </w:r>
    </w:p>
    <w:p w14:paraId="2225CCE3" w14:textId="77777777" w:rsidR="009C556E" w:rsidRPr="009C556E" w:rsidRDefault="009C556E" w:rsidP="009C556E">
      <w:pPr>
        <w:jc w:val="both"/>
        <w:rPr>
          <w:b/>
          <w:bCs/>
        </w:rPr>
      </w:pPr>
    </w:p>
    <w:p w14:paraId="1D9023E4" w14:textId="77777777" w:rsidR="00DC1B40" w:rsidRDefault="00DC1B40">
      <w:pPr>
        <w:rPr>
          <w:b/>
          <w:bCs/>
        </w:rPr>
      </w:pPr>
      <w:r>
        <w:rPr>
          <w:b/>
          <w:bCs/>
        </w:rPr>
        <w:br w:type="page"/>
      </w:r>
    </w:p>
    <w:p w14:paraId="1F31D4EB" w14:textId="6DE5A24C" w:rsidR="009C556E" w:rsidRPr="009C556E" w:rsidRDefault="009C556E" w:rsidP="009C556E">
      <w:pPr>
        <w:jc w:val="both"/>
        <w:rPr>
          <w:b/>
          <w:bCs/>
        </w:rPr>
      </w:pPr>
      <w:r w:rsidRPr="009C556E">
        <w:rPr>
          <w:b/>
          <w:bCs/>
        </w:rPr>
        <w:t>Trent</w:t>
      </w:r>
      <w:r w:rsidR="00C90420">
        <w:rPr>
          <w:b/>
          <w:bCs/>
        </w:rPr>
        <w:t>o</w:t>
      </w:r>
      <w:r w:rsidRPr="009C556E">
        <w:rPr>
          <w:b/>
          <w:bCs/>
        </w:rPr>
        <w:t>, Italija</w:t>
      </w:r>
    </w:p>
    <w:p w14:paraId="6A5CB468" w14:textId="5CCC0F87" w:rsidR="00547545" w:rsidRPr="00547545" w:rsidRDefault="009C556E" w:rsidP="009C556E">
      <w:pPr>
        <w:jc w:val="both"/>
      </w:pPr>
      <w:r>
        <w:t>Avtonomna provinca Trento namenja sredstva za razvoj turističnega gospodarstva skozi posodabljanje in krepitev žičniških sistemov in smučarskih prog. Za obdobje 2015–2020 je bilo letno namenjenih 4 milijone evrov nepovratnih sredstev in subvencij za obrestne mere. Podpora vključuje izgradnjo novih in modernizacijo obstoječih naprav, nakup opreme za zasneževanje prog ter izgradnjo sistemov za zasneževanje</w:t>
      </w:r>
      <w:r w:rsidR="00C90420">
        <w:t>.</w:t>
      </w:r>
    </w:p>
    <w:p w14:paraId="3A9ABD15" w14:textId="7971ED5C" w:rsidR="00547545" w:rsidRPr="00547545" w:rsidRDefault="00547545" w:rsidP="009C556E">
      <w:pPr>
        <w:pStyle w:val="Naslov2"/>
        <w:jc w:val="both"/>
      </w:pPr>
    </w:p>
    <w:p w14:paraId="4DE30B47" w14:textId="7CCE068A" w:rsidR="00133124" w:rsidRDefault="00DC1B40" w:rsidP="00DC1B40">
      <w:pPr>
        <w:pStyle w:val="Naslov2"/>
        <w:numPr>
          <w:ilvl w:val="1"/>
          <w:numId w:val="1"/>
        </w:numPr>
      </w:pPr>
      <w:bookmarkStart w:id="16" w:name="_Toc180049346"/>
      <w:r>
        <w:t>Organizacijski modeli in lastništvo v tujini</w:t>
      </w:r>
      <w:bookmarkEnd w:id="16"/>
    </w:p>
    <w:p w14:paraId="37E0D33E" w14:textId="56694E41" w:rsidR="007D3B55" w:rsidRDefault="007D3B55" w:rsidP="00133124">
      <w:pPr>
        <w:tabs>
          <w:tab w:val="left" w:pos="932"/>
        </w:tabs>
      </w:pPr>
    </w:p>
    <w:p w14:paraId="3E911C7B" w14:textId="77777777" w:rsidR="00DC1B40" w:rsidRDefault="00DC1B40" w:rsidP="00061BD9">
      <w:pPr>
        <w:tabs>
          <w:tab w:val="left" w:pos="932"/>
        </w:tabs>
        <w:jc w:val="both"/>
      </w:pPr>
      <w:r>
        <w:t>Za primerjavo z našimi modeli lahko pogledamo različne organizacijske pristope v tujini.</w:t>
      </w:r>
    </w:p>
    <w:p w14:paraId="5FFE7CEA" w14:textId="77777777" w:rsidR="00DC1B40" w:rsidRDefault="00DC1B40" w:rsidP="00DC1B40">
      <w:pPr>
        <w:tabs>
          <w:tab w:val="left" w:pos="932"/>
        </w:tabs>
      </w:pPr>
    </w:p>
    <w:p w14:paraId="410AFBDE" w14:textId="4F013108" w:rsidR="00DC1B40" w:rsidRPr="00061BD9" w:rsidRDefault="00DC1B40" w:rsidP="00DC1B40">
      <w:pPr>
        <w:tabs>
          <w:tab w:val="left" w:pos="932"/>
        </w:tabs>
        <w:rPr>
          <w:b/>
          <w:bCs/>
        </w:rPr>
      </w:pPr>
      <w:r w:rsidRPr="00061BD9">
        <w:rPr>
          <w:b/>
          <w:bCs/>
        </w:rPr>
        <w:t>Koroška, Avstrija</w:t>
      </w:r>
    </w:p>
    <w:p w14:paraId="5D6D4BD6" w14:textId="02872E75" w:rsidR="00DC1B40" w:rsidRDefault="00DC1B40" w:rsidP="00061BD9">
      <w:pPr>
        <w:tabs>
          <w:tab w:val="left" w:pos="932"/>
        </w:tabs>
        <w:jc w:val="both"/>
      </w:pPr>
      <w:r>
        <w:t xml:space="preserve">Na Koroškem je dežela vključena v razvoj gorskih centrov skozi lastništvo v več žičniških podjetjih in turističnih infrastrukturnih projektih. Upravljanje teh naložb poteka preko posebne družbe </w:t>
      </w:r>
      <w:proofErr w:type="spellStart"/>
      <w:r>
        <w:t>Land</w:t>
      </w:r>
      <w:proofErr w:type="spellEnd"/>
      <w:r>
        <w:t xml:space="preserve"> </w:t>
      </w:r>
      <w:proofErr w:type="spellStart"/>
      <w:r>
        <w:t>Kärnten</w:t>
      </w:r>
      <w:proofErr w:type="spellEnd"/>
      <w:r>
        <w:t xml:space="preserve"> </w:t>
      </w:r>
      <w:proofErr w:type="spellStart"/>
      <w:r>
        <w:t>Beteiligungen</w:t>
      </w:r>
      <w:proofErr w:type="spellEnd"/>
      <w:r>
        <w:t xml:space="preserve"> </w:t>
      </w:r>
      <w:proofErr w:type="spellStart"/>
      <w:r>
        <w:t>GmbH</w:t>
      </w:r>
      <w:proofErr w:type="spellEnd"/>
      <w:r>
        <w:t xml:space="preserve"> (LKBG), ki je v 100</w:t>
      </w:r>
      <w:r w:rsidR="00061BD9">
        <w:t xml:space="preserve"> </w:t>
      </w:r>
      <w:r>
        <w:t xml:space="preserve">% lasti </w:t>
      </w:r>
      <w:r w:rsidR="00061BD9">
        <w:t>K</w:t>
      </w:r>
      <w:r>
        <w:t>oroške deželne vlad</w:t>
      </w:r>
      <w:r w:rsidR="00061BD9">
        <w:t>e.</w:t>
      </w:r>
    </w:p>
    <w:p w14:paraId="450348ED" w14:textId="77777777" w:rsidR="00DC1B40" w:rsidRDefault="00DC1B40" w:rsidP="00DC1B40">
      <w:pPr>
        <w:tabs>
          <w:tab w:val="left" w:pos="932"/>
        </w:tabs>
      </w:pPr>
    </w:p>
    <w:p w14:paraId="2A11936D" w14:textId="1679A1B3" w:rsidR="00DC1B40" w:rsidRPr="00061BD9" w:rsidRDefault="00DC1B40" w:rsidP="00DC1B40">
      <w:pPr>
        <w:tabs>
          <w:tab w:val="left" w:pos="932"/>
        </w:tabs>
        <w:rPr>
          <w:b/>
          <w:bCs/>
        </w:rPr>
      </w:pPr>
      <w:r w:rsidRPr="00061BD9">
        <w:rPr>
          <w:b/>
          <w:bCs/>
        </w:rPr>
        <w:t>Furlanija Julijska krajina, Italija</w:t>
      </w:r>
    </w:p>
    <w:p w14:paraId="7F518294" w14:textId="064ED367" w:rsidR="00DC1B40" w:rsidRDefault="00DC1B40" w:rsidP="00061BD9">
      <w:pPr>
        <w:tabs>
          <w:tab w:val="left" w:pos="932"/>
        </w:tabs>
        <w:jc w:val="both"/>
      </w:pPr>
      <w:r>
        <w:t xml:space="preserve">Deželno podjetje </w:t>
      </w:r>
      <w:proofErr w:type="spellStart"/>
      <w:r>
        <w:t>Promoturismo</w:t>
      </w:r>
      <w:proofErr w:type="spellEnd"/>
      <w:r>
        <w:t xml:space="preserve"> upravlja in razvija turistično infrastrukturo v lasti dežele, ki vključuje šest gorskih centrov. Primarni namen podjetja je sicer promocija in trženje destinacije, vendar je vključeno tudi v operativno upravljanje žičniških naprav.</w:t>
      </w:r>
    </w:p>
    <w:p w14:paraId="750B5AA1" w14:textId="77777777" w:rsidR="00DC1B40" w:rsidRDefault="00DC1B40" w:rsidP="00DC1B40">
      <w:pPr>
        <w:tabs>
          <w:tab w:val="left" w:pos="932"/>
        </w:tabs>
      </w:pPr>
    </w:p>
    <w:p w14:paraId="4FA0BDDC" w14:textId="7374F91F" w:rsidR="00DC1B40" w:rsidRPr="00061BD9" w:rsidRDefault="00DC1B40" w:rsidP="00DC1B40">
      <w:pPr>
        <w:tabs>
          <w:tab w:val="left" w:pos="932"/>
        </w:tabs>
        <w:rPr>
          <w:b/>
          <w:bCs/>
        </w:rPr>
      </w:pPr>
      <w:r w:rsidRPr="00061BD9">
        <w:rPr>
          <w:b/>
          <w:bCs/>
        </w:rPr>
        <w:t>Srbija</w:t>
      </w:r>
    </w:p>
    <w:p w14:paraId="5C90264D" w14:textId="03431B61" w:rsidR="00BE1A3E" w:rsidRDefault="00DC1B40" w:rsidP="00061BD9">
      <w:pPr>
        <w:tabs>
          <w:tab w:val="left" w:pos="932"/>
        </w:tabs>
        <w:jc w:val="both"/>
      </w:pPr>
      <w:r>
        <w:t xml:space="preserve">V Srbiji je ustanovljeno državno javno podjetje </w:t>
      </w:r>
      <w:proofErr w:type="spellStart"/>
      <w:r>
        <w:t>Skijališta</w:t>
      </w:r>
      <w:proofErr w:type="spellEnd"/>
      <w:r>
        <w:t xml:space="preserve"> Srbije, ki centralizirano upravlja s smučarskimi centri. Ta model omogoča enotno strategijo razvoja in bolj učinkovito uporabo proračunskih sredstev za infrastrukturo</w:t>
      </w:r>
      <w:r w:rsidR="00061BD9">
        <w:t>.</w:t>
      </w:r>
    </w:p>
    <w:p w14:paraId="407E0DAA" w14:textId="77777777" w:rsidR="00BE1A3E" w:rsidRDefault="00BE1A3E">
      <w:r>
        <w:br w:type="page"/>
      </w:r>
    </w:p>
    <w:p w14:paraId="7EDD1A33" w14:textId="66E189A2" w:rsidR="00DC1B40" w:rsidRDefault="00BE1A3E" w:rsidP="00BE1A3E">
      <w:pPr>
        <w:pStyle w:val="Naslov1"/>
        <w:numPr>
          <w:ilvl w:val="0"/>
          <w:numId w:val="1"/>
        </w:numPr>
      </w:pPr>
      <w:bookmarkStart w:id="17" w:name="_Toc180049347"/>
      <w:r>
        <w:t>ZAKLJUČEK – PREDLOG UKREPOV ZA IZBOLJŠANJE STABILNOSTI OBRATOVANJA RTC GAČE</w:t>
      </w:r>
      <w:bookmarkEnd w:id="17"/>
    </w:p>
    <w:p w14:paraId="0A39ECF4" w14:textId="77777777" w:rsidR="00BE1A3E" w:rsidRDefault="00BE1A3E" w:rsidP="00BE1A3E"/>
    <w:p w14:paraId="138A5505" w14:textId="77777777" w:rsidR="00BE1A3E" w:rsidRDefault="00BE1A3E" w:rsidP="00BE1A3E">
      <w:r>
        <w:t>Na podlagi analiziranih tujih praks predlagamo uvedbo naslednjih ukrepov za izboljšanje stabilnega obratovanja RTC Gače:</w:t>
      </w:r>
    </w:p>
    <w:p w14:paraId="3CEC69F2" w14:textId="2FD4C38A" w:rsidR="00BE1A3E" w:rsidRPr="00BE1A3E" w:rsidRDefault="00BE1A3E" w:rsidP="00BE1A3E">
      <w:pPr>
        <w:pStyle w:val="Odstavekseznama"/>
        <w:numPr>
          <w:ilvl w:val="0"/>
          <w:numId w:val="27"/>
        </w:numPr>
        <w:rPr>
          <w:b/>
          <w:bCs/>
          <w:u w:val="single"/>
        </w:rPr>
      </w:pPr>
      <w:r w:rsidRPr="00BE1A3E">
        <w:rPr>
          <w:b/>
          <w:bCs/>
          <w:u w:val="single"/>
        </w:rPr>
        <w:t>Uvedba javno-zasebnih partnerstev za financiranje.</w:t>
      </w:r>
    </w:p>
    <w:p w14:paraId="7D3A0954" w14:textId="77777777" w:rsidR="00BE1A3E" w:rsidRPr="00BE1A3E" w:rsidRDefault="00BE1A3E" w:rsidP="00BE1A3E">
      <w:pPr>
        <w:pStyle w:val="Odstavekseznama"/>
        <w:rPr>
          <w:b/>
          <w:bCs/>
          <w:u w:val="single"/>
        </w:rPr>
      </w:pPr>
    </w:p>
    <w:p w14:paraId="54A94D8B" w14:textId="13294988" w:rsidR="00BE1A3E" w:rsidRPr="00BE1A3E" w:rsidRDefault="00BE1A3E" w:rsidP="00BE1A3E">
      <w:pPr>
        <w:pStyle w:val="Odstavekseznama"/>
        <w:numPr>
          <w:ilvl w:val="0"/>
          <w:numId w:val="27"/>
        </w:numPr>
        <w:rPr>
          <w:b/>
          <w:bCs/>
          <w:u w:val="single"/>
        </w:rPr>
      </w:pPr>
      <w:r w:rsidRPr="00BE1A3E">
        <w:rPr>
          <w:b/>
          <w:bCs/>
          <w:u w:val="single"/>
        </w:rPr>
        <w:t>Razširitev ponudbe z uvedbo celoletnih dejavnosti.</w:t>
      </w:r>
    </w:p>
    <w:p w14:paraId="1FB4CD33" w14:textId="77777777" w:rsidR="00BE1A3E" w:rsidRPr="00BE1A3E" w:rsidRDefault="00BE1A3E" w:rsidP="00BE1A3E">
      <w:pPr>
        <w:pStyle w:val="Odstavekseznama"/>
        <w:rPr>
          <w:b/>
          <w:bCs/>
          <w:u w:val="single"/>
        </w:rPr>
      </w:pPr>
    </w:p>
    <w:p w14:paraId="7E10A529" w14:textId="26675B0F" w:rsidR="00BE1A3E" w:rsidRPr="00BE1A3E" w:rsidRDefault="00BE1A3E" w:rsidP="00BE1A3E">
      <w:pPr>
        <w:pStyle w:val="Odstavekseznama"/>
        <w:numPr>
          <w:ilvl w:val="0"/>
          <w:numId w:val="27"/>
        </w:numPr>
        <w:rPr>
          <w:b/>
          <w:bCs/>
          <w:u w:val="single"/>
        </w:rPr>
      </w:pPr>
      <w:r w:rsidRPr="00BE1A3E">
        <w:rPr>
          <w:b/>
          <w:bCs/>
          <w:u w:val="single"/>
        </w:rPr>
        <w:t>Vključitev lokalnih skupnosti in občin v financiranje in promocijo smučišča.</w:t>
      </w:r>
    </w:p>
    <w:p w14:paraId="4C55A7F0" w14:textId="77777777" w:rsidR="00BE1A3E" w:rsidRPr="00BE1A3E" w:rsidRDefault="00BE1A3E" w:rsidP="00BE1A3E">
      <w:pPr>
        <w:pStyle w:val="Odstavekseznama"/>
        <w:rPr>
          <w:b/>
          <w:bCs/>
          <w:u w:val="single"/>
        </w:rPr>
      </w:pPr>
    </w:p>
    <w:p w14:paraId="5F9D03AA" w14:textId="38DA9495" w:rsidR="00BE1A3E" w:rsidRPr="00BE1A3E" w:rsidRDefault="00BE1A3E" w:rsidP="00BE1A3E">
      <w:pPr>
        <w:pStyle w:val="Odstavekseznama"/>
        <w:numPr>
          <w:ilvl w:val="0"/>
          <w:numId w:val="27"/>
        </w:numPr>
        <w:rPr>
          <w:b/>
          <w:bCs/>
          <w:u w:val="single"/>
        </w:rPr>
      </w:pPr>
      <w:r w:rsidRPr="00BE1A3E">
        <w:rPr>
          <w:b/>
          <w:bCs/>
          <w:u w:val="single"/>
        </w:rPr>
        <w:t>Uporaba trajnostnih praks za zmanjšanje stroškov in povečanje obiskanosti.</w:t>
      </w:r>
    </w:p>
    <w:p w14:paraId="1F0AF9F4" w14:textId="77777777" w:rsidR="00BE1A3E" w:rsidRDefault="00BE1A3E" w:rsidP="00BE1A3E"/>
    <w:p w14:paraId="2D4373DD" w14:textId="1CB1B80F" w:rsidR="00BE1A3E" w:rsidRPr="00BE1A3E" w:rsidRDefault="00BE1A3E" w:rsidP="00BE1A3E">
      <w:r>
        <w:t>Te prakse so se v tujini izkazale za uspešne in bi lahko bistveno prispevale k dolgoročni stabilnosti in razvoju RTC Gače.</w:t>
      </w:r>
    </w:p>
    <w:sectPr w:rsidR="00BE1A3E" w:rsidRPr="00BE1A3E" w:rsidSect="00561AC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2D08C3" w14:textId="77777777" w:rsidR="004E3E1D" w:rsidRDefault="004E3E1D" w:rsidP="00AA06A1">
      <w:pPr>
        <w:spacing w:after="0" w:line="240" w:lineRule="auto"/>
      </w:pPr>
      <w:r>
        <w:separator/>
      </w:r>
    </w:p>
  </w:endnote>
  <w:endnote w:type="continuationSeparator" w:id="0">
    <w:p w14:paraId="76818C59" w14:textId="77777777" w:rsidR="004E3E1D" w:rsidRDefault="004E3E1D" w:rsidP="00AA06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26253337"/>
      <w:docPartObj>
        <w:docPartGallery w:val="Page Numbers (Bottom of Page)"/>
        <w:docPartUnique/>
      </w:docPartObj>
    </w:sdtPr>
    <w:sdtEndPr>
      <w:rPr>
        <w:color w:val="4472C4" w:themeColor="accent1"/>
      </w:rPr>
    </w:sdtEndPr>
    <w:sdtContent>
      <w:p w14:paraId="4143D489" w14:textId="669DC588" w:rsidR="00AA06A1" w:rsidRPr="0055450F" w:rsidRDefault="00AA06A1" w:rsidP="000C4DC0">
        <w:pPr>
          <w:pStyle w:val="Noga"/>
          <w:jc w:val="center"/>
          <w:rPr>
            <w:color w:val="4472C4" w:themeColor="accent1"/>
          </w:rPr>
        </w:pPr>
        <w:r w:rsidRPr="000C4DC0">
          <w:fldChar w:fldCharType="begin"/>
        </w:r>
        <w:r w:rsidRPr="000C4DC0">
          <w:instrText>PAGE   \* MERGEFORMAT</w:instrText>
        </w:r>
        <w:r w:rsidRPr="000C4DC0">
          <w:fldChar w:fldCharType="separate"/>
        </w:r>
        <w:r w:rsidRPr="000C4DC0">
          <w:t>2</w:t>
        </w:r>
        <w:r w:rsidRPr="000C4DC0">
          <w:fldChar w:fldCharType="end"/>
        </w:r>
      </w:p>
    </w:sdtContent>
  </w:sdt>
  <w:p w14:paraId="7B460E85" w14:textId="77777777" w:rsidR="00AA06A1" w:rsidRDefault="00AA06A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144C94" w14:textId="77777777" w:rsidR="004E3E1D" w:rsidRDefault="004E3E1D" w:rsidP="00AA06A1">
      <w:pPr>
        <w:spacing w:after="0" w:line="240" w:lineRule="auto"/>
      </w:pPr>
      <w:r>
        <w:separator/>
      </w:r>
    </w:p>
  </w:footnote>
  <w:footnote w:type="continuationSeparator" w:id="0">
    <w:p w14:paraId="19CEBE37" w14:textId="77777777" w:rsidR="004E3E1D" w:rsidRDefault="004E3E1D" w:rsidP="00AA06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E5E95C" w14:textId="684124DB" w:rsidR="0055450F" w:rsidRDefault="0055450F" w:rsidP="000C4DC0">
    <w:pPr>
      <w:pStyle w:val="Glava"/>
    </w:pPr>
    <w:r>
      <w:rPr>
        <w:noProof/>
      </w:rPr>
      <w:drawing>
        <wp:anchor distT="0" distB="0" distL="114300" distR="114300" simplePos="0" relativeHeight="251658240" behindDoc="1" locked="0" layoutInCell="1" allowOverlap="1" wp14:anchorId="426ED235" wp14:editId="0B6722F9">
          <wp:simplePos x="0" y="0"/>
          <wp:positionH relativeFrom="margin">
            <wp:posOffset>5489696</wp:posOffset>
          </wp:positionH>
          <wp:positionV relativeFrom="margin">
            <wp:posOffset>-606781</wp:posOffset>
          </wp:positionV>
          <wp:extent cx="270000" cy="471600"/>
          <wp:effectExtent l="0" t="0" r="0" b="5080"/>
          <wp:wrapNone/>
          <wp:docPr id="54046838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0000" cy="471600"/>
                  </a:xfrm>
                  <a:prstGeom prst="rect">
                    <a:avLst/>
                  </a:prstGeom>
                  <a:noFill/>
                </pic:spPr>
              </pic:pic>
            </a:graphicData>
          </a:graphic>
          <wp14:sizeRelH relativeFrom="margin">
            <wp14:pctWidth>0</wp14:pctWidth>
          </wp14:sizeRelH>
          <wp14:sizeRelV relativeFrom="margin">
            <wp14:pctHeight>0</wp14:pctHeight>
          </wp14:sizeRelV>
        </wp:anchor>
      </w:drawing>
    </w:r>
  </w:p>
  <w:p w14:paraId="5F435308" w14:textId="5B15A3FE" w:rsidR="00AC192E" w:rsidRDefault="00AC192E" w:rsidP="000C4DC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E828C1"/>
    <w:multiLevelType w:val="multilevel"/>
    <w:tmpl w:val="8B86302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64335A"/>
    <w:multiLevelType w:val="multilevel"/>
    <w:tmpl w:val="8B86302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C81668F"/>
    <w:multiLevelType w:val="multilevel"/>
    <w:tmpl w:val="8B86302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FDB79BF"/>
    <w:multiLevelType w:val="hybridMultilevel"/>
    <w:tmpl w:val="D6F6203C"/>
    <w:lvl w:ilvl="0" w:tplc="AF62C27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8C31B2D"/>
    <w:multiLevelType w:val="hybridMultilevel"/>
    <w:tmpl w:val="A618564E"/>
    <w:lvl w:ilvl="0" w:tplc="AF62C27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A3B7D66"/>
    <w:multiLevelType w:val="multilevel"/>
    <w:tmpl w:val="8B86302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1CCD1CF9"/>
    <w:multiLevelType w:val="multilevel"/>
    <w:tmpl w:val="8B86302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EB00EE7"/>
    <w:multiLevelType w:val="hybridMultilevel"/>
    <w:tmpl w:val="E0CA1F60"/>
    <w:lvl w:ilvl="0" w:tplc="D1424CF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5E86AE3"/>
    <w:multiLevelType w:val="multilevel"/>
    <w:tmpl w:val="8B86302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8E168CC"/>
    <w:multiLevelType w:val="multilevel"/>
    <w:tmpl w:val="8B86302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B5E5ECC"/>
    <w:multiLevelType w:val="hybridMultilevel"/>
    <w:tmpl w:val="1690D554"/>
    <w:lvl w:ilvl="0" w:tplc="AF62C27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C130245"/>
    <w:multiLevelType w:val="hybridMultilevel"/>
    <w:tmpl w:val="BB0410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E231766"/>
    <w:multiLevelType w:val="hybridMultilevel"/>
    <w:tmpl w:val="9D7AC394"/>
    <w:lvl w:ilvl="0" w:tplc="AF62C27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3DA3C28"/>
    <w:multiLevelType w:val="hybridMultilevel"/>
    <w:tmpl w:val="1BE0A95E"/>
    <w:lvl w:ilvl="0" w:tplc="AF62C27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7B47BB9"/>
    <w:multiLevelType w:val="multilevel"/>
    <w:tmpl w:val="8B86302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9ED5CA1"/>
    <w:multiLevelType w:val="multilevel"/>
    <w:tmpl w:val="8B86302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A736A6F"/>
    <w:multiLevelType w:val="multilevel"/>
    <w:tmpl w:val="8B86302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54453E2"/>
    <w:multiLevelType w:val="hybridMultilevel"/>
    <w:tmpl w:val="A2C4EA42"/>
    <w:lvl w:ilvl="0" w:tplc="AF62C27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6042F01"/>
    <w:multiLevelType w:val="multilevel"/>
    <w:tmpl w:val="8B86302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650115D"/>
    <w:multiLevelType w:val="hybridMultilevel"/>
    <w:tmpl w:val="6B6A30F6"/>
    <w:lvl w:ilvl="0" w:tplc="AF62C27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09A2FBB"/>
    <w:multiLevelType w:val="multilevel"/>
    <w:tmpl w:val="8B86302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0F13B0E"/>
    <w:multiLevelType w:val="hybridMultilevel"/>
    <w:tmpl w:val="3426E09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2BC1363"/>
    <w:multiLevelType w:val="hybridMultilevel"/>
    <w:tmpl w:val="D6564A80"/>
    <w:lvl w:ilvl="0" w:tplc="AF62C27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D616018"/>
    <w:multiLevelType w:val="multilevel"/>
    <w:tmpl w:val="8B86302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EA91E99"/>
    <w:multiLevelType w:val="multilevel"/>
    <w:tmpl w:val="8B86302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F1D703A"/>
    <w:multiLevelType w:val="hybridMultilevel"/>
    <w:tmpl w:val="6A84DAC2"/>
    <w:lvl w:ilvl="0" w:tplc="AF62C27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8FB0B2C"/>
    <w:multiLevelType w:val="hybridMultilevel"/>
    <w:tmpl w:val="849E1F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410226339">
    <w:abstractNumId w:val="14"/>
  </w:num>
  <w:num w:numId="2" w16cid:durableId="2053770579">
    <w:abstractNumId w:val="8"/>
  </w:num>
  <w:num w:numId="3" w16cid:durableId="1497301338">
    <w:abstractNumId w:val="6"/>
  </w:num>
  <w:num w:numId="4" w16cid:durableId="21370426">
    <w:abstractNumId w:val="1"/>
  </w:num>
  <w:num w:numId="5" w16cid:durableId="955064925">
    <w:abstractNumId w:val="21"/>
  </w:num>
  <w:num w:numId="6" w16cid:durableId="1326858321">
    <w:abstractNumId w:val="5"/>
  </w:num>
  <w:num w:numId="7" w16cid:durableId="1122965668">
    <w:abstractNumId w:val="25"/>
  </w:num>
  <w:num w:numId="8" w16cid:durableId="812332532">
    <w:abstractNumId w:val="26"/>
  </w:num>
  <w:num w:numId="9" w16cid:durableId="1098986493">
    <w:abstractNumId w:val="11"/>
  </w:num>
  <w:num w:numId="10" w16cid:durableId="2063869438">
    <w:abstractNumId w:val="4"/>
  </w:num>
  <w:num w:numId="11" w16cid:durableId="390929921">
    <w:abstractNumId w:val="16"/>
  </w:num>
  <w:num w:numId="12" w16cid:durableId="1054088604">
    <w:abstractNumId w:val="23"/>
  </w:num>
  <w:num w:numId="13" w16cid:durableId="1905485906">
    <w:abstractNumId w:val="17"/>
  </w:num>
  <w:num w:numId="14" w16cid:durableId="146213878">
    <w:abstractNumId w:val="12"/>
  </w:num>
  <w:num w:numId="15" w16cid:durableId="76951207">
    <w:abstractNumId w:val="7"/>
  </w:num>
  <w:num w:numId="16" w16cid:durableId="1087073942">
    <w:abstractNumId w:val="13"/>
  </w:num>
  <w:num w:numId="17" w16cid:durableId="483474175">
    <w:abstractNumId w:val="10"/>
  </w:num>
  <w:num w:numId="18" w16cid:durableId="2042854053">
    <w:abstractNumId w:val="22"/>
  </w:num>
  <w:num w:numId="19" w16cid:durableId="1179151460">
    <w:abstractNumId w:val="19"/>
  </w:num>
  <w:num w:numId="20" w16cid:durableId="1747604372">
    <w:abstractNumId w:val="3"/>
  </w:num>
  <w:num w:numId="21" w16cid:durableId="744113162">
    <w:abstractNumId w:val="0"/>
  </w:num>
  <w:num w:numId="22" w16cid:durableId="608050930">
    <w:abstractNumId w:val="15"/>
  </w:num>
  <w:num w:numId="23" w16cid:durableId="1792436475">
    <w:abstractNumId w:val="24"/>
  </w:num>
  <w:num w:numId="24" w16cid:durableId="603221939">
    <w:abstractNumId w:val="2"/>
  </w:num>
  <w:num w:numId="25" w16cid:durableId="888418122">
    <w:abstractNumId w:val="9"/>
  </w:num>
  <w:num w:numId="26" w16cid:durableId="112676854">
    <w:abstractNumId w:val="20"/>
  </w:num>
  <w:num w:numId="27" w16cid:durableId="180330876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2333"/>
    <w:rsid w:val="00005464"/>
    <w:rsid w:val="00027105"/>
    <w:rsid w:val="00033D65"/>
    <w:rsid w:val="000408D4"/>
    <w:rsid w:val="00055F23"/>
    <w:rsid w:val="00061BD9"/>
    <w:rsid w:val="00073363"/>
    <w:rsid w:val="00075117"/>
    <w:rsid w:val="000A2B48"/>
    <w:rsid w:val="000A3D0B"/>
    <w:rsid w:val="000B3CC1"/>
    <w:rsid w:val="000C4DC0"/>
    <w:rsid w:val="000E0847"/>
    <w:rsid w:val="000F16DF"/>
    <w:rsid w:val="00106E6D"/>
    <w:rsid w:val="00122AC2"/>
    <w:rsid w:val="00133124"/>
    <w:rsid w:val="001343E4"/>
    <w:rsid w:val="00141203"/>
    <w:rsid w:val="00156ACB"/>
    <w:rsid w:val="00157FA8"/>
    <w:rsid w:val="00167142"/>
    <w:rsid w:val="00174D0E"/>
    <w:rsid w:val="001A7E83"/>
    <w:rsid w:val="001B76BD"/>
    <w:rsid w:val="001E0FC1"/>
    <w:rsid w:val="001F78F8"/>
    <w:rsid w:val="00212F0F"/>
    <w:rsid w:val="00222A01"/>
    <w:rsid w:val="002301DC"/>
    <w:rsid w:val="00243B8C"/>
    <w:rsid w:val="00247166"/>
    <w:rsid w:val="00251BD4"/>
    <w:rsid w:val="002603EE"/>
    <w:rsid w:val="0029390F"/>
    <w:rsid w:val="002B6708"/>
    <w:rsid w:val="002C7C61"/>
    <w:rsid w:val="002F7646"/>
    <w:rsid w:val="00320A1F"/>
    <w:rsid w:val="00327B41"/>
    <w:rsid w:val="00373C66"/>
    <w:rsid w:val="003954B0"/>
    <w:rsid w:val="003C7B60"/>
    <w:rsid w:val="003D42BD"/>
    <w:rsid w:val="003F4B22"/>
    <w:rsid w:val="00427BB0"/>
    <w:rsid w:val="00431A76"/>
    <w:rsid w:val="00452185"/>
    <w:rsid w:val="004622DE"/>
    <w:rsid w:val="0047565B"/>
    <w:rsid w:val="004A0D93"/>
    <w:rsid w:val="004A5E0B"/>
    <w:rsid w:val="004B40BB"/>
    <w:rsid w:val="004C59F6"/>
    <w:rsid w:val="004E1E3E"/>
    <w:rsid w:val="004E3E1D"/>
    <w:rsid w:val="00503464"/>
    <w:rsid w:val="00524CDE"/>
    <w:rsid w:val="00541543"/>
    <w:rsid w:val="00542521"/>
    <w:rsid w:val="00547545"/>
    <w:rsid w:val="0055450F"/>
    <w:rsid w:val="00561AC4"/>
    <w:rsid w:val="00564126"/>
    <w:rsid w:val="00576B4D"/>
    <w:rsid w:val="00594DB2"/>
    <w:rsid w:val="005A3749"/>
    <w:rsid w:val="005A541C"/>
    <w:rsid w:val="005C4377"/>
    <w:rsid w:val="005F087B"/>
    <w:rsid w:val="005F0BA9"/>
    <w:rsid w:val="005F35DE"/>
    <w:rsid w:val="005F66A1"/>
    <w:rsid w:val="00641CB3"/>
    <w:rsid w:val="00642D47"/>
    <w:rsid w:val="00652DCA"/>
    <w:rsid w:val="006678B6"/>
    <w:rsid w:val="00682423"/>
    <w:rsid w:val="00693EA0"/>
    <w:rsid w:val="006A7FF3"/>
    <w:rsid w:val="006C2D4F"/>
    <w:rsid w:val="006E47EE"/>
    <w:rsid w:val="0070478B"/>
    <w:rsid w:val="00711341"/>
    <w:rsid w:val="00711C24"/>
    <w:rsid w:val="00756586"/>
    <w:rsid w:val="00757AD6"/>
    <w:rsid w:val="00762814"/>
    <w:rsid w:val="00773574"/>
    <w:rsid w:val="00780E6A"/>
    <w:rsid w:val="007B6F50"/>
    <w:rsid w:val="007C1703"/>
    <w:rsid w:val="007D3B55"/>
    <w:rsid w:val="007D44E0"/>
    <w:rsid w:val="007D7743"/>
    <w:rsid w:val="0083324F"/>
    <w:rsid w:val="00856EB3"/>
    <w:rsid w:val="00862E8B"/>
    <w:rsid w:val="0087490C"/>
    <w:rsid w:val="00880028"/>
    <w:rsid w:val="008A7971"/>
    <w:rsid w:val="008B4A69"/>
    <w:rsid w:val="008B6692"/>
    <w:rsid w:val="008C50D4"/>
    <w:rsid w:val="00916DF7"/>
    <w:rsid w:val="00933ED2"/>
    <w:rsid w:val="00960AA3"/>
    <w:rsid w:val="00961B82"/>
    <w:rsid w:val="009643AC"/>
    <w:rsid w:val="00986482"/>
    <w:rsid w:val="009C556E"/>
    <w:rsid w:val="009E10E0"/>
    <w:rsid w:val="009E13D0"/>
    <w:rsid w:val="009F048D"/>
    <w:rsid w:val="00A65852"/>
    <w:rsid w:val="00A71506"/>
    <w:rsid w:val="00A95A27"/>
    <w:rsid w:val="00AA06A1"/>
    <w:rsid w:val="00AB0D17"/>
    <w:rsid w:val="00AB7CAB"/>
    <w:rsid w:val="00AC192E"/>
    <w:rsid w:val="00AD170B"/>
    <w:rsid w:val="00B000A1"/>
    <w:rsid w:val="00B12E0B"/>
    <w:rsid w:val="00B15329"/>
    <w:rsid w:val="00B4295A"/>
    <w:rsid w:val="00B54AED"/>
    <w:rsid w:val="00B56183"/>
    <w:rsid w:val="00B57C91"/>
    <w:rsid w:val="00B62147"/>
    <w:rsid w:val="00B62C14"/>
    <w:rsid w:val="00B76106"/>
    <w:rsid w:val="00B92333"/>
    <w:rsid w:val="00B92D79"/>
    <w:rsid w:val="00BC34EF"/>
    <w:rsid w:val="00BE1A3E"/>
    <w:rsid w:val="00C25C89"/>
    <w:rsid w:val="00C27003"/>
    <w:rsid w:val="00C45FDE"/>
    <w:rsid w:val="00C90420"/>
    <w:rsid w:val="00C92FD4"/>
    <w:rsid w:val="00C93646"/>
    <w:rsid w:val="00CA1E1B"/>
    <w:rsid w:val="00CE1E17"/>
    <w:rsid w:val="00CE7051"/>
    <w:rsid w:val="00D11D42"/>
    <w:rsid w:val="00D15FF6"/>
    <w:rsid w:val="00D17B4A"/>
    <w:rsid w:val="00D34AA0"/>
    <w:rsid w:val="00D40AD6"/>
    <w:rsid w:val="00D724E8"/>
    <w:rsid w:val="00D739C1"/>
    <w:rsid w:val="00D85A0F"/>
    <w:rsid w:val="00D86AA0"/>
    <w:rsid w:val="00D90C38"/>
    <w:rsid w:val="00D927EA"/>
    <w:rsid w:val="00DB04F8"/>
    <w:rsid w:val="00DC1B40"/>
    <w:rsid w:val="00DC6767"/>
    <w:rsid w:val="00DE3ACA"/>
    <w:rsid w:val="00DE5E6D"/>
    <w:rsid w:val="00DF1B3F"/>
    <w:rsid w:val="00E233E7"/>
    <w:rsid w:val="00E4679C"/>
    <w:rsid w:val="00E46A4E"/>
    <w:rsid w:val="00E71AD6"/>
    <w:rsid w:val="00EF3F61"/>
    <w:rsid w:val="00EF580E"/>
    <w:rsid w:val="00F12FF9"/>
    <w:rsid w:val="00F1727B"/>
    <w:rsid w:val="00F22A5E"/>
    <w:rsid w:val="00F402A9"/>
    <w:rsid w:val="00F63511"/>
    <w:rsid w:val="00FF284D"/>
    <w:rsid w:val="00FF29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CF4FB5"/>
  <w15:chartTrackingRefBased/>
  <w15:docId w15:val="{8F72E3E4-EB44-4804-8DA0-2615D8764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2603EE"/>
    <w:pPr>
      <w:keepNext/>
      <w:keepLines/>
      <w:spacing w:after="0"/>
      <w:outlineLvl w:val="0"/>
    </w:pPr>
    <w:rPr>
      <w:rFonts w:ascii="Calibri" w:eastAsiaTheme="majorEastAsia" w:hAnsi="Calibri" w:cstheme="majorBidi"/>
      <w:b/>
      <w:sz w:val="32"/>
      <w:szCs w:val="32"/>
    </w:rPr>
  </w:style>
  <w:style w:type="paragraph" w:styleId="Naslov2">
    <w:name w:val="heading 2"/>
    <w:basedOn w:val="Navaden"/>
    <w:next w:val="Navaden"/>
    <w:link w:val="Naslov2Znak"/>
    <w:uiPriority w:val="9"/>
    <w:unhideWhenUsed/>
    <w:qFormat/>
    <w:rsid w:val="002603EE"/>
    <w:pPr>
      <w:keepNext/>
      <w:keepLines/>
      <w:spacing w:before="40" w:after="0"/>
      <w:outlineLvl w:val="1"/>
    </w:pPr>
    <w:rPr>
      <w:rFonts w:ascii="Calibri" w:eastAsiaTheme="majorEastAsia" w:hAnsi="Calibri" w:cstheme="majorBidi"/>
      <w:b/>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603EE"/>
    <w:rPr>
      <w:rFonts w:ascii="Calibri" w:eastAsiaTheme="majorEastAsia" w:hAnsi="Calibri" w:cstheme="majorBidi"/>
      <w:b/>
      <w:sz w:val="32"/>
      <w:szCs w:val="32"/>
    </w:rPr>
  </w:style>
  <w:style w:type="character" w:customStyle="1" w:styleId="Naslov2Znak">
    <w:name w:val="Naslov 2 Znak"/>
    <w:basedOn w:val="Privzetapisavaodstavka"/>
    <w:link w:val="Naslov2"/>
    <w:uiPriority w:val="9"/>
    <w:rsid w:val="002603EE"/>
    <w:rPr>
      <w:rFonts w:ascii="Calibri" w:eastAsiaTheme="majorEastAsia" w:hAnsi="Calibri" w:cstheme="majorBidi"/>
      <w:b/>
      <w:sz w:val="26"/>
      <w:szCs w:val="26"/>
    </w:rPr>
  </w:style>
  <w:style w:type="paragraph" w:styleId="Odstavekseznama">
    <w:name w:val="List Paragraph"/>
    <w:basedOn w:val="Navaden"/>
    <w:uiPriority w:val="34"/>
    <w:qFormat/>
    <w:rsid w:val="00AB0D17"/>
    <w:pPr>
      <w:ind w:left="720"/>
      <w:contextualSpacing/>
    </w:pPr>
  </w:style>
  <w:style w:type="paragraph" w:styleId="Glava">
    <w:name w:val="header"/>
    <w:basedOn w:val="Navaden"/>
    <w:link w:val="GlavaZnak"/>
    <w:uiPriority w:val="99"/>
    <w:unhideWhenUsed/>
    <w:rsid w:val="00AA06A1"/>
    <w:pPr>
      <w:tabs>
        <w:tab w:val="center" w:pos="4536"/>
        <w:tab w:val="right" w:pos="9072"/>
      </w:tabs>
      <w:spacing w:after="0" w:line="240" w:lineRule="auto"/>
    </w:pPr>
  </w:style>
  <w:style w:type="character" w:customStyle="1" w:styleId="GlavaZnak">
    <w:name w:val="Glava Znak"/>
    <w:basedOn w:val="Privzetapisavaodstavka"/>
    <w:link w:val="Glava"/>
    <w:uiPriority w:val="99"/>
    <w:rsid w:val="00AA06A1"/>
  </w:style>
  <w:style w:type="paragraph" w:styleId="Noga">
    <w:name w:val="footer"/>
    <w:basedOn w:val="Navaden"/>
    <w:link w:val="NogaZnak"/>
    <w:uiPriority w:val="99"/>
    <w:unhideWhenUsed/>
    <w:rsid w:val="00AA06A1"/>
    <w:pPr>
      <w:tabs>
        <w:tab w:val="center" w:pos="4536"/>
        <w:tab w:val="right" w:pos="9072"/>
      </w:tabs>
      <w:spacing w:after="0" w:line="240" w:lineRule="auto"/>
    </w:pPr>
  </w:style>
  <w:style w:type="character" w:customStyle="1" w:styleId="NogaZnak">
    <w:name w:val="Noga Znak"/>
    <w:basedOn w:val="Privzetapisavaodstavka"/>
    <w:link w:val="Noga"/>
    <w:uiPriority w:val="99"/>
    <w:rsid w:val="00AA06A1"/>
  </w:style>
  <w:style w:type="paragraph" w:styleId="Kazalovsebine1">
    <w:name w:val="toc 1"/>
    <w:basedOn w:val="Navaden"/>
    <w:next w:val="Navaden"/>
    <w:autoRedefine/>
    <w:uiPriority w:val="39"/>
    <w:unhideWhenUsed/>
    <w:rsid w:val="00C45FDE"/>
    <w:pPr>
      <w:spacing w:before="120" w:after="120"/>
    </w:pPr>
    <w:rPr>
      <w:rFonts w:cstheme="minorHAnsi"/>
      <w:b/>
      <w:bCs/>
      <w:caps/>
      <w:sz w:val="20"/>
      <w:szCs w:val="20"/>
    </w:rPr>
  </w:style>
  <w:style w:type="paragraph" w:styleId="Kazalovsebine2">
    <w:name w:val="toc 2"/>
    <w:basedOn w:val="Navaden"/>
    <w:next w:val="Navaden"/>
    <w:autoRedefine/>
    <w:uiPriority w:val="39"/>
    <w:unhideWhenUsed/>
    <w:rsid w:val="006C2D4F"/>
    <w:pPr>
      <w:tabs>
        <w:tab w:val="left" w:pos="880"/>
        <w:tab w:val="right" w:leader="dot" w:pos="9062"/>
      </w:tabs>
      <w:spacing w:after="0"/>
      <w:ind w:left="851" w:hanging="631"/>
    </w:pPr>
    <w:rPr>
      <w:rFonts w:cstheme="minorHAnsi"/>
      <w:smallCaps/>
      <w:sz w:val="20"/>
      <w:szCs w:val="20"/>
    </w:rPr>
  </w:style>
  <w:style w:type="paragraph" w:styleId="Kazalovsebine3">
    <w:name w:val="toc 3"/>
    <w:basedOn w:val="Navaden"/>
    <w:next w:val="Navaden"/>
    <w:autoRedefine/>
    <w:uiPriority w:val="39"/>
    <w:unhideWhenUsed/>
    <w:rsid w:val="00C45FDE"/>
    <w:pPr>
      <w:spacing w:after="0"/>
      <w:ind w:left="440"/>
    </w:pPr>
    <w:rPr>
      <w:rFonts w:cstheme="minorHAnsi"/>
      <w:i/>
      <w:iCs/>
      <w:sz w:val="20"/>
      <w:szCs w:val="20"/>
    </w:rPr>
  </w:style>
  <w:style w:type="paragraph" w:styleId="Kazalovsebine4">
    <w:name w:val="toc 4"/>
    <w:basedOn w:val="Navaden"/>
    <w:next w:val="Navaden"/>
    <w:autoRedefine/>
    <w:uiPriority w:val="39"/>
    <w:unhideWhenUsed/>
    <w:rsid w:val="00C45FDE"/>
    <w:pPr>
      <w:spacing w:after="0"/>
      <w:ind w:left="660"/>
    </w:pPr>
    <w:rPr>
      <w:rFonts w:cstheme="minorHAnsi"/>
      <w:sz w:val="18"/>
      <w:szCs w:val="18"/>
    </w:rPr>
  </w:style>
  <w:style w:type="paragraph" w:styleId="Kazalovsebine5">
    <w:name w:val="toc 5"/>
    <w:basedOn w:val="Navaden"/>
    <w:next w:val="Navaden"/>
    <w:autoRedefine/>
    <w:uiPriority w:val="39"/>
    <w:unhideWhenUsed/>
    <w:rsid w:val="00C45FDE"/>
    <w:pPr>
      <w:spacing w:after="0"/>
      <w:ind w:left="880"/>
    </w:pPr>
    <w:rPr>
      <w:rFonts w:cstheme="minorHAnsi"/>
      <w:sz w:val="18"/>
      <w:szCs w:val="18"/>
    </w:rPr>
  </w:style>
  <w:style w:type="paragraph" w:styleId="Kazalovsebine6">
    <w:name w:val="toc 6"/>
    <w:basedOn w:val="Navaden"/>
    <w:next w:val="Navaden"/>
    <w:autoRedefine/>
    <w:uiPriority w:val="39"/>
    <w:unhideWhenUsed/>
    <w:rsid w:val="00C45FDE"/>
    <w:pPr>
      <w:spacing w:after="0"/>
      <w:ind w:left="1100"/>
    </w:pPr>
    <w:rPr>
      <w:rFonts w:cstheme="minorHAnsi"/>
      <w:sz w:val="18"/>
      <w:szCs w:val="18"/>
    </w:rPr>
  </w:style>
  <w:style w:type="paragraph" w:styleId="Kazalovsebine7">
    <w:name w:val="toc 7"/>
    <w:basedOn w:val="Navaden"/>
    <w:next w:val="Navaden"/>
    <w:autoRedefine/>
    <w:uiPriority w:val="39"/>
    <w:unhideWhenUsed/>
    <w:rsid w:val="00C45FDE"/>
    <w:pPr>
      <w:spacing w:after="0"/>
      <w:ind w:left="1320"/>
    </w:pPr>
    <w:rPr>
      <w:rFonts w:cstheme="minorHAnsi"/>
      <w:sz w:val="18"/>
      <w:szCs w:val="18"/>
    </w:rPr>
  </w:style>
  <w:style w:type="paragraph" w:styleId="Kazalovsebine8">
    <w:name w:val="toc 8"/>
    <w:basedOn w:val="Navaden"/>
    <w:next w:val="Navaden"/>
    <w:autoRedefine/>
    <w:uiPriority w:val="39"/>
    <w:unhideWhenUsed/>
    <w:rsid w:val="00C45FDE"/>
    <w:pPr>
      <w:spacing w:after="0"/>
      <w:ind w:left="1540"/>
    </w:pPr>
    <w:rPr>
      <w:rFonts w:cstheme="minorHAnsi"/>
      <w:sz w:val="18"/>
      <w:szCs w:val="18"/>
    </w:rPr>
  </w:style>
  <w:style w:type="paragraph" w:styleId="Kazalovsebine9">
    <w:name w:val="toc 9"/>
    <w:basedOn w:val="Navaden"/>
    <w:next w:val="Navaden"/>
    <w:autoRedefine/>
    <w:uiPriority w:val="39"/>
    <w:unhideWhenUsed/>
    <w:rsid w:val="00C45FDE"/>
    <w:pPr>
      <w:spacing w:after="0"/>
      <w:ind w:left="1760"/>
    </w:pPr>
    <w:rPr>
      <w:rFonts w:cstheme="minorHAnsi"/>
      <w:sz w:val="18"/>
      <w:szCs w:val="18"/>
    </w:rPr>
  </w:style>
  <w:style w:type="character" w:styleId="Hiperpovezava">
    <w:name w:val="Hyperlink"/>
    <w:basedOn w:val="Privzetapisavaodstavka"/>
    <w:uiPriority w:val="99"/>
    <w:unhideWhenUsed/>
    <w:rsid w:val="00C45FD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89811986">
      <w:bodyDiv w:val="1"/>
      <w:marLeft w:val="0"/>
      <w:marRight w:val="0"/>
      <w:marTop w:val="0"/>
      <w:marBottom w:val="0"/>
      <w:divBdr>
        <w:top w:val="none" w:sz="0" w:space="0" w:color="auto"/>
        <w:left w:val="none" w:sz="0" w:space="0" w:color="auto"/>
        <w:bottom w:val="none" w:sz="0" w:space="0" w:color="auto"/>
        <w:right w:val="none" w:sz="0" w:space="0" w:color="auto"/>
      </w:divBdr>
    </w:div>
    <w:div w:id="1899969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5221F34-076E-4C79-B1AD-5C37659FE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3227</Words>
  <Characters>18400</Characters>
  <Application>Microsoft Office Word</Application>
  <DocSecurity>0</DocSecurity>
  <Lines>153</Lines>
  <Paragraphs>43</Paragraphs>
  <ScaleCrop>false</ScaleCrop>
  <HeadingPairs>
    <vt:vector size="4" baseType="variant">
      <vt:variant>
        <vt:lpstr>Naslov</vt:lpstr>
      </vt:variant>
      <vt:variant>
        <vt:i4>1</vt:i4>
      </vt:variant>
      <vt:variant>
        <vt:lpstr>Podnaslovi</vt:lpstr>
      </vt:variant>
      <vt:variant>
        <vt:i4>21</vt:i4>
      </vt:variant>
    </vt:vector>
  </HeadingPairs>
  <TitlesOfParts>
    <vt:vector size="22" baseType="lpstr">
      <vt:lpstr/>
      <vt:lpstr>SEDANJE STANJE</vt:lpstr>
      <vt:lpstr>    </vt:lpstr>
      <vt:lpstr>    Uvodno pojasnilo</vt:lpstr>
      <vt:lpstr>    Kratka predstavitev RTC Gače</vt:lpstr>
      <vt:lpstr>    </vt:lpstr>
      <vt:lpstr>    Predvidene investicije</vt:lpstr>
      <vt:lpstr>    </vt:lpstr>
      <vt:lpstr>    Stroški obratovanja in vzdrževanja smučišča, ki bremenijo nadaljnji razvoj RTC G</vt:lpstr>
      <vt:lpstr>POMOČ OBČIN PODPORNIC</vt:lpstr>
      <vt:lpstr>    </vt:lpstr>
      <vt:lpstr>    Pomen smučišča za širšo regijo in občine podpornice</vt:lpstr>
      <vt:lpstr>    Določitev ključa delitve</vt:lpstr>
      <vt:lpstr>    Višina zaprošenih sredstev in bonitete za občine</vt:lpstr>
      <vt:lpstr>DELITEV STROŠKOV MED OBČINE PODPORNICE</vt:lpstr>
      <vt:lpstr>    </vt:lpstr>
      <vt:lpstr>    Varianta A: delitev po številu prebivalcev, Občina Semič prispeva 30.000 EUR, Ob</vt:lpstr>
      <vt:lpstr>FINANCIRANJE, ORGANIZACIJSKI MODELI IN LASTNIŠTVO V TUJINI</vt:lpstr>
      <vt:lpstr>    Finančni viri in načini financiranja v tujini</vt:lpstr>
      <vt:lpstr>    </vt:lpstr>
      <vt:lpstr>    Organizacijski modeli in lastništvo v tujini</vt:lpstr>
      <vt:lpstr>ZAKLJUČEK – PREDLOG UKREPOV ZA IZBOLJŠANJE STABILNOSTI OBRATOVANJA RTC GAČE</vt:lpstr>
    </vt:vector>
  </TitlesOfParts>
  <Company/>
  <LinksUpToDate>false</LinksUpToDate>
  <CharactersWithSpaces>21584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Rebernik</dc:creator>
  <cp:keywords/>
  <dc:description/>
  <cp:lastModifiedBy>Polona Kambič</cp:lastModifiedBy>
  <cp:revision>2</cp:revision>
  <cp:lastPrinted>2024-11-21T06:55:00Z</cp:lastPrinted>
  <dcterms:created xsi:type="dcterms:W3CDTF">2024-11-21T11:58:00Z</dcterms:created>
  <dcterms:modified xsi:type="dcterms:W3CDTF">2024-11-21T11:58:00Z</dcterms:modified>
</cp:coreProperties>
</file>